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w:body>
    <w:p>
      <w:pPr>
        <w:spacing w:before="0" w:after="600" w:line="360" w:lineRule="auto"/>
      </w:pPr>
      <w:r>
        <w:t xml:space="preserve"/>
      </w:r>
    </w:p>
    <w:p>
      <w:pPr>
        <w:pStyle w:val="Title"/>
        <w:jc w:val="center"/>
      </w:pPr>
      <w:r>
        <w:t xml:space="preserve">Customer Intelligence Platform for Fintech</w:t>
      </w:r>
    </w:p>
    <w:p>
      <w:pPr>
        <w:pStyle w:val="Subtitle"/>
        <w:jc w:val="center"/>
      </w:pPr>
      <w:r>
        <w:t xml:space="preserve">Big Data Management Project</w:t>
      </w:r>
    </w:p>
    <w:p>
      <w:pPr>
        <w:spacing w:before="0" w:after="200" w:line="360" w:lineRule="auto"/>
        <w:jc w:val="center"/>
      </w:pPr>
      <w:r>
        <w:rPr>
          <w:sz w:val="32"/>
          <w:szCs w:val="32"/>
          <w:b/>
        </w:rPr>
        <w:t xml:space="preserve">Final Project Report</w:t>
      </w:r>
    </w:p>
    <w:p>
      <w:pPr>
        <w:spacing w:before="0" w:after="600" w:line="360" w:lineRule="auto"/>
        <w:jc w:val="center"/>
      </w:pPr>
      <w:r>
        <w:rPr>
          <w:sz w:val="24"/>
          <w:szCs w:val="24"/>
        </w:rPr>
        <w:t xml:space="preserve">Workstream A — Inactivity Risk &amp; Retention Prioritisation</w:t>
      </w:r>
    </w:p>
    <w:tbl>
      <w:tblPr>
        <w:tblStyle w:val="TableGrid"/>
        <w:tblW w:w="0" w:type="auto"/>
        <w:jc w:val="center"/>
        <w:tblLook w:val="04A0" w:firstRow="1" w:lastRow="0" w:firstColumn="1" w:lastColumn="0" w:noHBand="0" w:noVBand="1"/>
      </w:tblPr>
      <w:tblGrid>
        <w:gridCol w:w="3400"/>
        <w:gridCol w:w="6584"/>
      </w:tblGrid>
      <w:tr>
        <w:trPr>
          <w:jc w:val="center"/>
        </w:trPr>
        <w:tc>
          <w:tcPr>
            <w:tcW w:w="3400" w:type="dxa"/>
            <w:vAlign w:val="center"/>
          </w:tcPr>
          <w:p>
            <w:pPr>
              <w:spacing w:before="40" w:after="40" w:line="240" w:lineRule="auto"/>
            </w:pPr>
            <w:r>
              <w:rPr>
                <w:sz w:val="18"/>
                <w:szCs w:val="18"/>
              </w:rPr>
              <w:t xml:space="preserve">Project module name</w:t>
            </w:r>
          </w:p>
        </w:tc>
        <w:tc>
          <w:tcPr>
            <w:tcW w:w="6584" w:type="dxa"/>
            <w:vAlign w:val="center"/>
          </w:tcPr>
          <w:p>
            <w:pPr>
              <w:spacing w:before="40" w:after="40" w:line="240" w:lineRule="auto"/>
            </w:pPr>
            <w:r>
              <w:rPr>
                <w:sz w:val="18"/>
                <w:szCs w:val="18"/>
              </w:rPr>
              <w:t xml:space="preserve">IT3388 Big Data Management Project</w:t>
            </w:r>
          </w:p>
        </w:tc>
      </w:tr>
      <w:tr>
        <w:trPr>
          <w:jc w:val="center"/>
        </w:trPr>
        <w:tc>
          <w:tcPr>
            <w:tcW w:w="3400" w:type="dxa"/>
            <w:vAlign w:val="center"/>
          </w:tcPr>
          <w:p>
            <w:pPr>
              <w:spacing w:before="40" w:after="40" w:line="240" w:lineRule="auto"/>
            </w:pPr>
            <w:r>
              <w:rPr>
                <w:sz w:val="18"/>
                <w:szCs w:val="18"/>
              </w:rPr>
              <w:t xml:space="preserve">Document title</w:t>
            </w:r>
          </w:p>
        </w:tc>
        <w:tc>
          <w:tcPr>
            <w:tcW w:w="6584" w:type="dxa"/>
            <w:vAlign w:val="center"/>
          </w:tcPr>
          <w:p>
            <w:pPr>
              <w:spacing w:before="40" w:after="40" w:line="240" w:lineRule="auto"/>
            </w:pPr>
            <w:r>
              <w:rPr>
                <w:sz w:val="18"/>
                <w:szCs w:val="18"/>
              </w:rPr>
              <w:t xml:space="preserve">Final Project Report — Customer Intelligence Platform for Fintech</w:t>
            </w:r>
          </w:p>
        </w:tc>
      </w:tr>
      <w:tr>
        <w:trPr>
          <w:jc w:val="center"/>
        </w:trPr>
        <w:tc>
          <w:tcPr>
            <w:tcW w:w="3400" w:type="dxa"/>
            <w:vAlign w:val="center"/>
          </w:tcPr>
          <w:p>
            <w:pPr>
              <w:spacing w:before="40" w:after="40" w:line="240" w:lineRule="auto"/>
            </w:pPr>
            <w:r>
              <w:rPr>
                <w:sz w:val="18"/>
                <w:szCs w:val="18"/>
              </w:rPr>
              <w:t xml:space="preserve">Supervisor's name</w:t>
            </w:r>
          </w:p>
        </w:tc>
        <w:tc>
          <w:tcPr>
            <w:tcW w:w="6584" w:type="dxa"/>
            <w:vAlign w:val="center"/>
          </w:tcPr>
          <w:p>
            <w:pPr>
              <w:spacing w:before="40" w:after="40" w:line="240" w:lineRule="auto"/>
            </w:pPr>
            <w:r>
              <w:rPr>
                <w:sz w:val="18"/>
                <w:szCs w:val="18"/>
              </w:rPr>
              <w:t xml:space="preserve">—</w:t>
            </w:r>
          </w:p>
        </w:tc>
      </w:tr>
      <w:tr>
        <w:trPr>
          <w:jc w:val="center"/>
        </w:trPr>
        <w:tc>
          <w:tcPr>
            <w:tcW w:w="3400" w:type="dxa"/>
            <w:vAlign w:val="center"/>
          </w:tcPr>
          <w:p>
            <w:pPr>
              <w:spacing w:before="40" w:after="40" w:line="240" w:lineRule="auto"/>
            </w:pPr>
            <w:r>
              <w:rPr>
                <w:sz w:val="18"/>
                <w:szCs w:val="18"/>
              </w:rPr>
              <w:t xml:space="preserve">Project team number</w:t>
            </w:r>
          </w:p>
        </w:tc>
        <w:tc>
          <w:tcPr>
            <w:tcW w:w="6584" w:type="dxa"/>
            <w:vAlign w:val="center"/>
          </w:tcPr>
          <w:p>
            <w:pPr>
              <w:spacing w:before="40" w:after="40" w:line="240" w:lineRule="auto"/>
            </w:pPr>
            <w:r>
              <w:rPr>
                <w:sz w:val="18"/>
                <w:szCs w:val="18"/>
              </w:rPr>
              <w:t xml:space="preserve">Group 2 — FinSight Colombia</w:t>
            </w:r>
          </w:p>
        </w:tc>
      </w:tr>
      <w:tr>
        <w:trPr>
          <w:jc w:val="center"/>
        </w:trPr>
        <w:tc>
          <w:tcPr>
            <w:tcW w:w="3400" w:type="dxa"/>
            <w:vAlign w:val="center"/>
          </w:tcPr>
          <w:p>
            <w:pPr>
              <w:spacing w:before="40" w:after="40" w:line="240" w:lineRule="auto"/>
            </w:pPr>
            <w:r>
              <w:rPr>
                <w:sz w:val="18"/>
                <w:szCs w:val="18"/>
              </w:rPr>
              <w:t xml:space="preserve">Author of this report</w:t>
            </w:r>
          </w:p>
        </w:tc>
        <w:tc>
          <w:tcPr>
            <w:tcW w:w="6584" w:type="dxa"/>
            <w:vAlign w:val="center"/>
          </w:tcPr>
          <w:p>
            <w:pPr>
              <w:spacing w:before="40" w:after="40" w:line="240" w:lineRule="auto"/>
            </w:pPr>
            <w:r>
              <w:rPr>
                <w:sz w:val="18"/>
                <w:szCs w:val="18"/>
              </w:rPr>
              <w:t xml:space="preserve">Clifton Chen Yi (Member A, Team Leader)</w:t>
            </w:r>
          </w:p>
        </w:tc>
      </w:tr>
      <w:tr>
        <w:trPr>
          <w:jc w:val="center"/>
        </w:trPr>
        <w:tc>
          <w:tcPr>
            <w:tcW w:w="3400" w:type="dxa"/>
            <w:vAlign w:val="center"/>
          </w:tcPr>
          <w:p>
            <w:pPr>
              <w:spacing w:before="40" w:after="40" w:line="240" w:lineRule="auto"/>
            </w:pPr>
            <w:r>
              <w:rPr>
                <w:sz w:val="18"/>
                <w:szCs w:val="18"/>
              </w:rPr>
              <w:t xml:space="preserve">Latest report amendment date</w:t>
            </w:r>
          </w:p>
        </w:tc>
        <w:tc>
          <w:tcPr>
            <w:tcW w:w="6584" w:type="dxa"/>
            <w:vAlign w:val="center"/>
          </w:tcPr>
          <w:p>
            <w:pPr>
              <w:spacing w:before="40" w:after="40" w:line="240" w:lineRule="auto"/>
            </w:pPr>
            <w:r>
              <w:rPr>
                <w:sz w:val="18"/>
                <w:szCs w:val="18"/>
              </w:rPr>
              <w:t xml:space="preserve">28 July 2026</w:t>
            </w:r>
          </w:p>
        </w:tc>
      </w:tr>
    </w:tbl>
    <w:p>
      <w:pPr>
        <w:spacing w:before="0" w:after="60" w:line="360" w:lineRule="auto"/>
      </w:pPr>
      <w:r>
        <w:t xml:space="preserve"/>
      </w:r>
    </w:p>
    <w:p>
      <w:pPr>
        <w:spacing w:before="0" w:after="200" w:line="360" w:lineRule="auto"/>
      </w:pPr>
      <w:r>
        <w:t xml:space="preserve"/>
      </w:r>
    </w:p>
    <w:tbl>
      <w:tblPr>
        <w:tblStyle w:val="TableGrid"/>
        <w:tblW w:w="0" w:type="auto"/>
        <w:jc w:val="center"/>
        <w:tblLook w:val="04A0" w:firstRow="1" w:lastRow="0" w:firstColumn="1" w:lastColumn="0" w:noHBand="0" w:noVBand="1"/>
      </w:tblPr>
      <w:tblGrid>
        <w:gridCol w:w="2500"/>
        <w:gridCol w:w="1500"/>
        <w:gridCol w:w="2200"/>
        <w:gridCol w:w="3784"/>
      </w:tblGrid>
      <w:tr>
        <w:trPr>
          <w:jc w:val="center"/>
          <w:tblHeader/>
        </w:trPr>
        <w:tc>
          <w:tcPr>
            <w:tcW w:w="2500" w:type="dxa"/>
            <w:shd w:val="clear" w:color="auto" w:fill="14375A"/>
            <w:vAlign w:val="center"/>
          </w:tcPr>
          <w:p>
            <w:pPr>
              <w:spacing w:before="40" w:after="40" w:line="240" w:lineRule="auto"/>
            </w:pPr>
            <w:r>
              <w:rPr>
                <w:sz w:val="16"/>
                <w:szCs w:val="16"/>
                <w:b/>
                <w:color w:val="FFFFFF"/>
              </w:rPr>
              <w:t xml:space="preserve">Team member</w:t>
            </w:r>
          </w:p>
        </w:tc>
        <w:tc>
          <w:tcPr>
            <w:tcW w:w="1500" w:type="dxa"/>
            <w:shd w:val="clear" w:color="auto" w:fill="14375A"/>
            <w:vAlign w:val="center"/>
          </w:tcPr>
          <w:p>
            <w:pPr>
              <w:spacing w:before="40" w:after="40" w:line="240" w:lineRule="auto"/>
            </w:pPr>
            <w:r>
              <w:rPr>
                <w:sz w:val="16"/>
                <w:szCs w:val="16"/>
                <w:b/>
                <w:color w:val="FFFFFF"/>
              </w:rPr>
              <w:t xml:space="preserve">Admin No.</w:t>
            </w:r>
          </w:p>
        </w:tc>
        <w:tc>
          <w:tcPr>
            <w:tcW w:w="2200" w:type="dxa"/>
            <w:shd w:val="clear" w:color="auto" w:fill="14375A"/>
            <w:vAlign w:val="center"/>
          </w:tcPr>
          <w:p>
            <w:pPr>
              <w:spacing w:before="40" w:after="40" w:line="240" w:lineRule="auto"/>
            </w:pPr>
            <w:r>
              <w:rPr>
                <w:sz w:val="16"/>
                <w:szCs w:val="16"/>
                <w:b/>
                <w:color w:val="FFFFFF"/>
              </w:rPr>
              <w:t xml:space="preserve">Role</w:t>
            </w:r>
          </w:p>
        </w:tc>
        <w:tc>
          <w:tcPr>
            <w:tcW w:w="3784" w:type="dxa"/>
            <w:shd w:val="clear" w:color="auto" w:fill="14375A"/>
            <w:vAlign w:val="center"/>
          </w:tcPr>
          <w:p>
            <w:pPr>
              <w:spacing w:before="40" w:after="40" w:line="240" w:lineRule="auto"/>
            </w:pPr>
            <w:r>
              <w:rPr>
                <w:sz w:val="16"/>
                <w:szCs w:val="16"/>
                <w:b/>
                <w:color w:val="FFFFFF"/>
              </w:rPr>
              <w:t xml:space="preserve">Workstream owned</w:t>
            </w:r>
          </w:p>
        </w:tc>
      </w:tr>
      <w:tr>
        <w:trPr>
          <w:jc w:val="center"/>
        </w:trPr>
        <w:tc>
          <w:tcPr>
            <w:tcW w:w="2500" w:type="dxa"/>
            <w:vAlign w:val="center"/>
          </w:tcPr>
          <w:p>
            <w:pPr>
              <w:spacing w:before="40" w:after="40" w:line="240" w:lineRule="auto"/>
            </w:pPr>
            <w:r>
              <w:rPr>
                <w:sz w:val="16"/>
                <w:szCs w:val="16"/>
              </w:rPr>
              <w:t xml:space="preserve">Clifton Chen Yi</w:t>
            </w:r>
          </w:p>
        </w:tc>
        <w:tc>
          <w:tcPr>
            <w:tcW w:w="1500" w:type="dxa"/>
            <w:vAlign w:val="center"/>
          </w:tcPr>
          <w:p>
            <w:pPr>
              <w:spacing w:before="40" w:after="40" w:line="240" w:lineRule="auto"/>
            </w:pPr>
            <w:r>
              <w:rPr>
                <w:sz w:val="16"/>
                <w:szCs w:val="16"/>
              </w:rPr>
              <w:t xml:space="preserve">—</w:t>
            </w:r>
          </w:p>
        </w:tc>
        <w:tc>
          <w:tcPr>
            <w:tcW w:w="2200" w:type="dxa"/>
            <w:vAlign w:val="center"/>
          </w:tcPr>
          <w:p>
            <w:pPr>
              <w:spacing w:before="40" w:after="40" w:line="240" w:lineRule="auto"/>
            </w:pPr>
            <w:r>
              <w:rPr>
                <w:sz w:val="16"/>
                <w:szCs w:val="16"/>
              </w:rPr>
              <w:t xml:space="preserve">Member A / Team Leader</w:t>
            </w:r>
          </w:p>
        </w:tc>
        <w:tc>
          <w:tcPr>
            <w:tcW w:w="3784" w:type="dxa"/>
            <w:vAlign w:val="center"/>
          </w:tcPr>
          <w:p>
            <w:pPr>
              <w:spacing w:before="40" w:after="40" w:line="240" w:lineRule="auto"/>
            </w:pPr>
            <w:r>
              <w:rPr>
                <w:sz w:val="16"/>
                <w:szCs w:val="16"/>
              </w:rPr>
              <w:t xml:space="preserve">Inactivity risk &amp; retention prioritisation</w:t>
            </w:r>
          </w:p>
        </w:tc>
      </w:tr>
      <w:tr>
        <w:trPr>
          <w:jc w:val="center"/>
        </w:trPr>
        <w:tc>
          <w:tcPr>
            <w:tcW w:w="2500" w:type="dxa"/>
            <w:vAlign w:val="center"/>
          </w:tcPr>
          <w:p>
            <w:pPr>
              <w:spacing w:before="40" w:after="40" w:line="240" w:lineRule="auto"/>
            </w:pPr>
            <w:r>
              <w:rPr>
                <w:sz w:val="16"/>
                <w:szCs w:val="16"/>
              </w:rPr>
              <w:t xml:space="preserve">Tan Zheng Yu Evan</w:t>
            </w:r>
          </w:p>
        </w:tc>
        <w:tc>
          <w:tcPr>
            <w:tcW w:w="1500" w:type="dxa"/>
            <w:vAlign w:val="center"/>
          </w:tcPr>
          <w:p>
            <w:pPr>
              <w:spacing w:before="40" w:after="40" w:line="240" w:lineRule="auto"/>
            </w:pPr>
            <w:r>
              <w:rPr>
                <w:sz w:val="16"/>
                <w:szCs w:val="16"/>
              </w:rPr>
              <w:t xml:space="preserve">—</w:t>
            </w:r>
          </w:p>
        </w:tc>
        <w:tc>
          <w:tcPr>
            <w:tcW w:w="2200" w:type="dxa"/>
            <w:vAlign w:val="center"/>
          </w:tcPr>
          <w:p>
            <w:pPr>
              <w:spacing w:before="40" w:after="40" w:line="240" w:lineRule="auto"/>
            </w:pPr>
            <w:r>
              <w:rPr>
                <w:sz w:val="16"/>
                <w:szCs w:val="16"/>
              </w:rPr>
              <w:t xml:space="preserve">Member B</w:t>
            </w:r>
          </w:p>
        </w:tc>
        <w:tc>
          <w:tcPr>
            <w:tcW w:w="3784" w:type="dxa"/>
            <w:vAlign w:val="center"/>
          </w:tcPr>
          <w:p>
            <w:pPr>
              <w:spacing w:before="40" w:after="40" w:line="240" w:lineRule="auto"/>
            </w:pPr>
            <w:r>
              <w:rPr>
                <w:sz w:val="16"/>
                <w:szCs w:val="16"/>
              </w:rPr>
              <w:t xml:space="preserve">Future customer value</w:t>
            </w:r>
          </w:p>
        </w:tc>
      </w:tr>
      <w:tr>
        <w:trPr>
          <w:jc w:val="center"/>
        </w:trPr>
        <w:tc>
          <w:tcPr>
            <w:tcW w:w="2500" w:type="dxa"/>
            <w:vAlign w:val="center"/>
          </w:tcPr>
          <w:p>
            <w:pPr>
              <w:spacing w:before="40" w:after="40" w:line="240" w:lineRule="auto"/>
            </w:pPr>
            <w:r>
              <w:rPr>
                <w:sz w:val="16"/>
                <w:szCs w:val="16"/>
              </w:rPr>
              <w:t xml:space="preserve">Lee Yi Ting</w:t>
            </w:r>
          </w:p>
        </w:tc>
        <w:tc>
          <w:tcPr>
            <w:tcW w:w="1500" w:type="dxa"/>
            <w:vAlign w:val="center"/>
          </w:tcPr>
          <w:p>
            <w:pPr>
              <w:spacing w:before="40" w:after="40" w:line="240" w:lineRule="auto"/>
            </w:pPr>
            <w:r>
              <w:rPr>
                <w:sz w:val="16"/>
                <w:szCs w:val="16"/>
              </w:rPr>
              <w:t xml:space="preserve">—</w:t>
            </w:r>
          </w:p>
        </w:tc>
        <w:tc>
          <w:tcPr>
            <w:tcW w:w="2200" w:type="dxa"/>
            <w:vAlign w:val="center"/>
          </w:tcPr>
          <w:p>
            <w:pPr>
              <w:spacing w:before="40" w:after="40" w:line="240" w:lineRule="auto"/>
            </w:pPr>
            <w:r>
              <w:rPr>
                <w:sz w:val="16"/>
                <w:szCs w:val="16"/>
              </w:rPr>
              <w:t xml:space="preserve">Member C</w:t>
            </w:r>
          </w:p>
        </w:tc>
        <w:tc>
          <w:tcPr>
            <w:tcW w:w="3784" w:type="dxa"/>
            <w:vAlign w:val="center"/>
          </w:tcPr>
          <w:p>
            <w:pPr>
              <w:spacing w:before="40" w:after="40" w:line="240" w:lineRule="auto"/>
            </w:pPr>
            <w:r>
              <w:rPr>
                <w:sz w:val="16"/>
                <w:szCs w:val="16"/>
              </w:rPr>
              <w:t xml:space="preserve">Satisfaction &amp; experience</w:t>
            </w:r>
          </w:p>
        </w:tc>
      </w:tr>
      <w:tr>
        <w:trPr>
          <w:jc w:val="center"/>
        </w:trPr>
        <w:tc>
          <w:tcPr>
            <w:tcW w:w="2500" w:type="dxa"/>
            <w:vAlign w:val="center"/>
          </w:tcPr>
          <w:p>
            <w:pPr>
              <w:spacing w:before="40" w:after="40" w:line="240" w:lineRule="auto"/>
            </w:pPr>
            <w:r>
              <w:rPr>
                <w:sz w:val="16"/>
                <w:szCs w:val="16"/>
              </w:rPr>
              <w:t xml:space="preserve">Wong Kang Bin</w:t>
            </w:r>
          </w:p>
        </w:tc>
        <w:tc>
          <w:tcPr>
            <w:tcW w:w="1500" w:type="dxa"/>
            <w:vAlign w:val="center"/>
          </w:tcPr>
          <w:p>
            <w:pPr>
              <w:spacing w:before="40" w:after="40" w:line="240" w:lineRule="auto"/>
            </w:pPr>
            <w:r>
              <w:rPr>
                <w:sz w:val="16"/>
                <w:szCs w:val="16"/>
              </w:rPr>
              <w:t xml:space="preserve">—</w:t>
            </w:r>
          </w:p>
        </w:tc>
        <w:tc>
          <w:tcPr>
            <w:tcW w:w="2200" w:type="dxa"/>
            <w:vAlign w:val="center"/>
          </w:tcPr>
          <w:p>
            <w:pPr>
              <w:spacing w:before="40" w:after="40" w:line="240" w:lineRule="auto"/>
            </w:pPr>
            <w:r>
              <w:rPr>
                <w:sz w:val="16"/>
                <w:szCs w:val="16"/>
              </w:rPr>
              <w:t xml:space="preserve">Member D</w:t>
            </w:r>
          </w:p>
        </w:tc>
        <w:tc>
          <w:tcPr>
            <w:tcW w:w="3784" w:type="dxa"/>
            <w:vAlign w:val="center"/>
          </w:tcPr>
          <w:p>
            <w:pPr>
              <w:spacing w:before="40" w:after="40" w:line="240" w:lineRule="auto"/>
            </w:pPr>
            <w:r>
              <w:rPr>
                <w:sz w:val="16"/>
                <w:szCs w:val="16"/>
              </w:rPr>
              <w:t xml:space="preserve">Transaction-demand classification</w:t>
            </w:r>
          </w:p>
        </w:tc>
      </w:tr>
    </w:tbl>
    <w:p>
      <w:pPr>
        <w:spacing w:before="0" w:after="60" w:line="360" w:lineRule="auto"/>
      </w:pPr>
      <w:r>
        <w:t xml:space="preserve"/>
      </w:r>
    </w:p>
    <w:p>
      <w:pPr>
        <w:spacing w:before="0" w:after="120" w:line="360" w:lineRule="auto"/>
        <w:jc w:val="center"/>
      </w:pPr>
      <w:r>
        <w:rPr>
          <w:sz w:val="16"/>
          <w:szCs w:val="16"/>
        </w:rPr>
        <w:t xml:space="preserve">Admin numbers to be completed by each member before submission.</w:t>
      </w:r>
    </w:p>
    <w:p>
      <w:pPr>
        <w:spacing w:after="0"/>
      </w:pPr>
      <w:r>
        <w:br w:type="page"/>
      </w:r>
    </w:p>
    <w:p>
      <w:pPr>
        <w:pStyle w:val="Heading1"/>
        <w:spacing w:before="200" w:after="120" w:line="360" w:lineRule="auto"/>
        <w:keepNext/>
      </w:pPr>
      <w:r>
        <w:t xml:space="preserve">Contents</w:t>
      </w:r>
    </w:p>
    <w:p>
      <w:pPr>
        <w:tabs>
          <w:tab w:val="right" w:leader="dot" w:pos="9639"/>
        </w:tabs>
        <w:spacing w:after="60" w:line="276" w:lineRule="auto"/>
        <w:ind w:left="0"/>
      </w:pPr>
      <w:r>
        <w:fldChar w:fldCharType="begin"/>
      </w:r>
      <w:r>
        <w:instrText xml:space="preserve"> TOC \o "1-2" \h \z \u </w:instrText>
      </w:r>
      <w:r>
        <w:fldChar w:fldCharType="separate"/>
      </w:r>
      <w:r>
        <w:rPr>
          <w:b/>
          <w:sz w:val="22"/>
        </w:rPr>
        <w:t xml:space="preserve">1  Executive Summary</w:t>
      </w:r>
      <w:r>
        <w:rPr>
          <w:sz w:val="22"/>
        </w:rPr>
        <w:tab/>
        <w:t>2</w:t>
      </w:r>
    </w:p>
    <w:p>
      <w:pPr>
        <w:tabs>
          <w:tab w:val="right" w:leader="dot" w:pos="9639"/>
        </w:tabs>
        <w:spacing w:after="60" w:line="276" w:lineRule="auto"/>
        <w:ind w:left="360"/>
      </w:pPr>
      <w:r>
        <w:rPr>
          <w:sz w:val="22"/>
        </w:rPr>
        <w:t xml:space="preserve">1.1  Business objectives, problem statement and goals</w:t>
      </w:r>
      <w:r>
        <w:rPr>
          <w:sz w:val="22"/>
        </w:rPr>
        <w:tab/>
        <w:t>3</w:t>
      </w:r>
    </w:p>
    <w:p>
      <w:pPr>
        <w:tabs>
          <w:tab w:val="right" w:leader="dot" w:pos="9639"/>
        </w:tabs>
        <w:spacing w:after="60" w:line="276" w:lineRule="auto"/>
        <w:ind w:left="360"/>
      </w:pPr>
      <w:r>
        <w:rPr>
          <w:sz w:val="22"/>
        </w:rPr>
        <w:t xml:space="preserve">1.2  Hypothesis</w:t>
      </w:r>
      <w:r>
        <w:rPr>
          <w:sz w:val="22"/>
        </w:rPr>
        <w:tab/>
        <w:t>3</w:t>
      </w:r>
    </w:p>
    <w:p>
      <w:pPr>
        <w:tabs>
          <w:tab w:val="right" w:leader="dot" w:pos="9639"/>
        </w:tabs>
        <w:spacing w:after="60" w:line="276" w:lineRule="auto"/>
        <w:ind w:left="360"/>
      </w:pPr>
      <w:r>
        <w:rPr>
          <w:sz w:val="22"/>
        </w:rPr>
        <w:t xml:space="preserve">1.3  Goals and success criteria</w:t>
      </w:r>
      <w:r>
        <w:rPr>
          <w:sz w:val="22"/>
        </w:rPr>
        <w:tab/>
        <w:t>3</w:t>
      </w:r>
    </w:p>
    <w:p>
      <w:pPr>
        <w:tabs>
          <w:tab w:val="right" w:leader="dot" w:pos="9639"/>
        </w:tabs>
        <w:spacing w:after="60" w:line="276" w:lineRule="auto"/>
        <w:ind w:left="360"/>
      </w:pPr>
      <w:r>
        <w:rPr>
          <w:sz w:val="22"/>
        </w:rPr>
        <w:t xml:space="preserve">1.4  Business scenario, insights and recommendations</w:t>
      </w:r>
      <w:r>
        <w:rPr>
          <w:sz w:val="22"/>
        </w:rPr>
        <w:tab/>
        <w:t>3</w:t>
      </w:r>
    </w:p>
    <w:p>
      <w:pPr>
        <w:tabs>
          <w:tab w:val="right" w:leader="dot" w:pos="9639"/>
        </w:tabs>
        <w:spacing w:after="60" w:line="276" w:lineRule="auto"/>
        <w:ind w:left="0"/>
      </w:pPr>
      <w:r>
        <w:rPr>
          <w:b/>
          <w:sz w:val="22"/>
        </w:rPr>
        <w:t xml:space="preserve">2  Data and Methodology</w:t>
      </w:r>
      <w:r>
        <w:rPr>
          <w:sz w:val="22"/>
        </w:rPr>
        <w:tab/>
        <w:t>3</w:t>
      </w:r>
    </w:p>
    <w:p>
      <w:pPr>
        <w:tabs>
          <w:tab w:val="right" w:leader="dot" w:pos="9639"/>
        </w:tabs>
        <w:spacing w:after="60" w:line="276" w:lineRule="auto"/>
        <w:ind w:left="360"/>
      </w:pPr>
      <w:r>
        <w:rPr>
          <w:sz w:val="22"/>
        </w:rPr>
        <w:t xml:space="preserve">2.1  Datasets</w:t>
      </w:r>
      <w:r>
        <w:rPr>
          <w:sz w:val="22"/>
        </w:rPr>
        <w:tab/>
        <w:t>4</w:t>
      </w:r>
    </w:p>
    <w:p>
      <w:pPr>
        <w:tabs>
          <w:tab w:val="right" w:leader="dot" w:pos="9639"/>
        </w:tabs>
        <w:spacing w:after="60" w:line="276" w:lineRule="auto"/>
        <w:ind w:left="360"/>
      </w:pPr>
      <w:r>
        <w:rPr>
          <w:sz w:val="22"/>
        </w:rPr>
        <w:t xml:space="preserve">2.2  Data preparation, and the decisions inside it</w:t>
      </w:r>
      <w:r>
        <w:rPr>
          <w:sz w:val="22"/>
        </w:rPr>
        <w:tab/>
        <w:t>4</w:t>
      </w:r>
    </w:p>
    <w:p>
      <w:pPr>
        <w:tabs>
          <w:tab w:val="right" w:leader="dot" w:pos="9639"/>
        </w:tabs>
        <w:spacing w:after="60" w:line="276" w:lineRule="auto"/>
        <w:ind w:left="360"/>
      </w:pPr>
      <w:r>
        <w:rPr>
          <w:sz w:val="22"/>
        </w:rPr>
        <w:t xml:space="preserve">2.3  Panel design and the target</w:t>
      </w:r>
      <w:r>
        <w:rPr>
          <w:sz w:val="22"/>
        </w:rPr>
        <w:tab/>
        <w:t>4</w:t>
      </w:r>
    </w:p>
    <w:p>
      <w:pPr>
        <w:tabs>
          <w:tab w:val="right" w:leader="dot" w:pos="9639"/>
        </w:tabs>
        <w:spacing w:after="60" w:line="276" w:lineRule="auto"/>
        <w:ind w:left="360"/>
      </w:pPr>
      <w:r>
        <w:rPr>
          <w:sz w:val="22"/>
        </w:rPr>
        <w:t xml:space="preserve">2.4  Features and leakage control</w:t>
      </w:r>
      <w:r>
        <w:rPr>
          <w:sz w:val="22"/>
        </w:rPr>
        <w:tab/>
        <w:t>4</w:t>
      </w:r>
    </w:p>
    <w:p>
      <w:pPr>
        <w:tabs>
          <w:tab w:val="right" w:leader="dot" w:pos="9639"/>
        </w:tabs>
        <w:spacing w:after="60" w:line="276" w:lineRule="auto"/>
        <w:ind w:left="0"/>
      </w:pPr>
      <w:r>
        <w:rPr>
          <w:b/>
          <w:sz w:val="22"/>
        </w:rPr>
        <w:t xml:space="preserve">3  Results and Interpretation</w:t>
      </w:r>
      <w:r>
        <w:rPr>
          <w:sz w:val="22"/>
        </w:rPr>
        <w:tab/>
        <w:t>4</w:t>
      </w:r>
    </w:p>
    <w:p>
      <w:pPr>
        <w:tabs>
          <w:tab w:val="right" w:leader="dot" w:pos="9639"/>
        </w:tabs>
        <w:spacing w:after="60" w:line="276" w:lineRule="auto"/>
        <w:ind w:left="360"/>
      </w:pPr>
      <w:r>
        <w:rPr>
          <w:sz w:val="22"/>
        </w:rPr>
        <w:t xml:space="preserve">3.1  Models against baselines</w:t>
      </w:r>
      <w:r>
        <w:rPr>
          <w:sz w:val="22"/>
        </w:rPr>
        <w:tab/>
        <w:t>5</w:t>
      </w:r>
    </w:p>
    <w:p>
      <w:pPr>
        <w:tabs>
          <w:tab w:val="right" w:leader="dot" w:pos="9639"/>
        </w:tabs>
        <w:spacing w:after="60" w:line="276" w:lineRule="auto"/>
        <w:ind w:left="360"/>
      </w:pPr>
      <w:r>
        <w:rPr>
          <w:sz w:val="22"/>
        </w:rPr>
        <w:t xml:space="preserve">3.2  What the model buys at a realistic capacity</w:t>
      </w:r>
      <w:r>
        <w:rPr>
          <w:sz w:val="22"/>
        </w:rPr>
        <w:tab/>
        <w:t>5</w:t>
      </w:r>
    </w:p>
    <w:p>
      <w:pPr>
        <w:tabs>
          <w:tab w:val="right" w:leader="dot" w:pos="9639"/>
        </w:tabs>
        <w:spacing w:after="60" w:line="276" w:lineRule="auto"/>
        <w:ind w:left="360"/>
      </w:pPr>
      <w:r>
        <w:rPr>
          <w:sz w:val="22"/>
        </w:rPr>
        <w:t xml:space="preserve">3.3  The hypothesis, tested directly</w:t>
      </w:r>
      <w:r>
        <w:rPr>
          <w:sz w:val="22"/>
        </w:rPr>
        <w:tab/>
        <w:t>5</w:t>
      </w:r>
    </w:p>
    <w:p>
      <w:pPr>
        <w:tabs>
          <w:tab w:val="right" w:leader="dot" w:pos="9639"/>
        </w:tabs>
        <w:spacing w:after="60" w:line="276" w:lineRule="auto"/>
        <w:ind w:left="360"/>
      </w:pPr>
      <w:r>
        <w:rPr>
          <w:sz w:val="22"/>
        </w:rPr>
        <w:t xml:space="preserve">3.4  Drivers</w:t>
      </w:r>
      <w:r>
        <w:rPr>
          <w:sz w:val="22"/>
        </w:rPr>
        <w:tab/>
        <w:t>5</w:t>
      </w:r>
    </w:p>
    <w:p>
      <w:pPr>
        <w:tabs>
          <w:tab w:val="right" w:leader="dot" w:pos="9639"/>
        </w:tabs>
        <w:spacing w:after="60" w:line="276" w:lineRule="auto"/>
        <w:ind w:left="360"/>
      </w:pPr>
      <w:r>
        <w:rPr>
          <w:sz w:val="22"/>
        </w:rPr>
        <w:t xml:space="preserve">3.5  Where the model is weaker</w:t>
      </w:r>
      <w:r>
        <w:rPr>
          <w:sz w:val="22"/>
        </w:rPr>
        <w:tab/>
        <w:t>5</w:t>
      </w:r>
    </w:p>
    <w:p>
      <w:pPr>
        <w:tabs>
          <w:tab w:val="right" w:leader="dot" w:pos="9639"/>
        </w:tabs>
        <w:spacing w:after="60" w:line="276" w:lineRule="auto"/>
        <w:ind w:left="0"/>
      </w:pPr>
      <w:r>
        <w:rPr>
          <w:b/>
          <w:sz w:val="22"/>
        </w:rPr>
        <w:t xml:space="preserve">4  Dashboard and Business Application</w:t>
      </w:r>
      <w:r>
        <w:rPr>
          <w:sz w:val="22"/>
        </w:rPr>
        <w:tab/>
        <w:t>5</w:t>
      </w:r>
    </w:p>
    <w:p>
      <w:pPr>
        <w:tabs>
          <w:tab w:val="right" w:leader="dot" w:pos="9639"/>
        </w:tabs>
        <w:spacing w:after="60" w:line="276" w:lineRule="auto"/>
        <w:ind w:left="0"/>
      </w:pPr>
      <w:r>
        <w:rPr>
          <w:b/>
          <w:sz w:val="22"/>
        </w:rPr>
        <w:t xml:space="preserve">5  Scalability and System Evaluation</w:t>
      </w:r>
      <w:r>
        <w:rPr>
          <w:sz w:val="22"/>
        </w:rPr>
        <w:tab/>
        <w:t>6</w:t>
      </w:r>
    </w:p>
    <w:p>
      <w:pPr>
        <w:tabs>
          <w:tab w:val="right" w:leader="dot" w:pos="9639"/>
        </w:tabs>
        <w:spacing w:after="60" w:line="276" w:lineRule="auto"/>
        <w:ind w:left="0"/>
      </w:pPr>
      <w:r>
        <w:rPr>
          <w:b/>
          <w:sz w:val="22"/>
        </w:rPr>
        <w:t xml:space="preserve">6  Problems Encountered</w:t>
      </w:r>
      <w:r>
        <w:rPr>
          <w:sz w:val="22"/>
        </w:rPr>
        <w:tab/>
        <w:t>7</w:t>
      </w:r>
    </w:p>
    <w:p>
      <w:pPr>
        <w:tabs>
          <w:tab w:val="right" w:leader="dot" w:pos="9639"/>
        </w:tabs>
        <w:spacing w:after="60" w:line="276" w:lineRule="auto"/>
        <w:ind w:left="360"/>
      </w:pPr>
      <w:r>
        <w:rPr>
          <w:sz w:val="22"/>
        </w:rPr>
        <w:t xml:space="preserve">6.1  Two conflicting sets of transaction summaries</w:t>
      </w:r>
      <w:r>
        <w:rPr>
          <w:sz w:val="22"/>
        </w:rPr>
        <w:tab/>
        <w:t>8</w:t>
      </w:r>
    </w:p>
    <w:p>
      <w:pPr>
        <w:tabs>
          <w:tab w:val="right" w:leader="dot" w:pos="9639"/>
        </w:tabs>
        <w:spacing w:after="60" w:line="276" w:lineRule="auto"/>
        <w:ind w:left="360"/>
      </w:pPr>
      <w:r>
        <w:rPr>
          <w:sz w:val="22"/>
        </w:rPr>
        <w:t xml:space="preserve">6.2  Untimestamped experience fields</w:t>
      </w:r>
      <w:r>
        <w:rPr>
          <w:sz w:val="22"/>
        </w:rPr>
        <w:tab/>
        <w:t>8</w:t>
      </w:r>
    </w:p>
    <w:p>
      <w:pPr>
        <w:tabs>
          <w:tab w:val="right" w:leader="dot" w:pos="9639"/>
        </w:tabs>
        <w:spacing w:after="60" w:line="276" w:lineRule="auto"/>
        <w:ind w:left="360"/>
      </w:pPr>
      <w:r>
        <w:rPr>
          <w:sz w:val="22"/>
        </w:rPr>
        <w:t xml:space="preserve">6.3  Recency is close to the target by construction</w:t>
      </w:r>
      <w:r>
        <w:rPr>
          <w:sz w:val="22"/>
        </w:rPr>
        <w:tab/>
        <w:t>8</w:t>
      </w:r>
    </w:p>
    <w:p>
      <w:pPr>
        <w:tabs>
          <w:tab w:val="right" w:leader="dot" w:pos="9639"/>
        </w:tabs>
        <w:spacing w:after="60" w:line="276" w:lineRule="auto"/>
        <w:ind w:left="360"/>
      </w:pPr>
      <w:r>
        <w:rPr>
          <w:sz w:val="22"/>
        </w:rPr>
        <w:t xml:space="preserve">6.4  Defining the outcome window without truncating labels</w:t>
      </w:r>
      <w:r>
        <w:rPr>
          <w:sz w:val="22"/>
        </w:rPr>
        <w:tab/>
        <w:t>8</w:t>
      </w:r>
    </w:p>
    <w:p>
      <w:pPr>
        <w:tabs>
          <w:tab w:val="right" w:leader="dot" w:pos="9639"/>
        </w:tabs>
        <w:spacing w:after="60" w:line="276" w:lineRule="auto"/>
        <w:ind w:left="360"/>
      </w:pPr>
      <w:r>
        <w:rPr>
          <w:sz w:val="22"/>
        </w:rPr>
        <w:t xml:space="preserve">6.5  Class imbalance without corrupting the panel</w:t>
      </w:r>
      <w:r>
        <w:rPr>
          <w:sz w:val="22"/>
        </w:rPr>
        <w:tab/>
        <w:t>8</w:t>
      </w:r>
    </w:p>
    <w:p>
      <w:pPr>
        <w:tabs>
          <w:tab w:val="right" w:leader="dot" w:pos="9639"/>
        </w:tabs>
        <w:spacing w:after="60" w:line="276" w:lineRule="auto"/>
        <w:ind w:left="0"/>
      </w:pPr>
      <w:r>
        <w:rPr>
          <w:b/>
          <w:sz w:val="22"/>
        </w:rPr>
        <w:t xml:space="preserve">7  Conclusion and Recommendations</w:t>
      </w:r>
      <w:r>
        <w:rPr>
          <w:sz w:val="22"/>
        </w:rPr>
        <w:tab/>
        <w:t>8</w:t>
      </w:r>
    </w:p>
    <w:p>
      <w:pPr>
        <w:tabs>
          <w:tab w:val="right" w:leader="dot" w:pos="9639"/>
        </w:tabs>
        <w:spacing w:after="60" w:line="276" w:lineRule="auto"/>
        <w:ind w:left="0"/>
      </w:pPr>
      <w:r>
        <w:rPr>
          <w:b/>
          <w:sz w:val="22"/>
        </w:rPr>
        <w:t xml:space="preserve">8  References and Artefacts</w:t>
      </w:r>
      <w:r>
        <w:rPr>
          <w:sz w:val="22"/>
        </w:rPr>
        <w:tab/>
        <w:t>9</w:t>
      </w:r>
    </w:p>
    <w:p>
      <w:pPr>
        <w:tabs>
          <w:tab w:val="right" w:leader="dot" w:pos="9639"/>
        </w:tabs>
        <w:spacing w:after="60" w:line="276" w:lineRule="auto"/>
        <w:ind w:left="360"/>
      </w:pPr>
      <w:r>
        <w:rPr>
          <w:sz w:val="22"/>
        </w:rPr>
        <w:t xml:space="preserve">8.1  Data and supporting sources</w:t>
      </w:r>
      <w:r>
        <w:rPr>
          <w:sz w:val="22"/>
        </w:rPr>
        <w:tab/>
        <w:t>10</w:t>
      </w:r>
    </w:p>
    <w:p>
      <w:pPr>
        <w:tabs>
          <w:tab w:val="right" w:leader="dot" w:pos="9639"/>
        </w:tabs>
        <w:spacing w:after="60" w:line="276" w:lineRule="auto"/>
        <w:ind w:left="360"/>
      </w:pPr>
      <w:r>
        <w:rPr>
          <w:sz w:val="22"/>
        </w:rPr>
        <w:t xml:space="preserve">8.2  Artefacts produced by this workstream</w:t>
      </w:r>
      <w:r>
        <w:rPr>
          <w:sz w:val="22"/>
        </w:rPr>
        <w:tab/>
        <w:t>10</w:t>
      </w:r>
      <w:r>
        <w:fldChar w:fldCharType="end"/>
      </w:r>
    </w:p>
    <w:p>
      <w:pPr>
        <w:spacing w:before="240" w:after="120" w:line="360" w:lineRule="auto"/>
        <w:pBdr>
          <w:top w:val="single" w:sz="6" w:space="4" w:color="C44E52"/>
          <w:bottom w:val="single" w:sz="6" w:space="4" w:color="C44E52"/>
        </w:pBdr>
      </w:pPr>
      <w:r>
        <w:rPr>
          <w:b/>
        </w:rPr>
        <w:t xml:space="preserve">Note:</w:t>
      </w:r>
      <w:r>
        <w:t xml:space="preserve"> 126 measured figures in this report are shown as «placeholders». Run </w:t>
      </w:r>
      <w:r>
        <w:rPr>
          <w:i/>
        </w:rPr>
        <w:t xml:space="preserve">IMPLEMENTATION - INACTIVITY AND RETENTION.ipynb</w:t>
      </w:r>
      <w:r>
        <w:t xml:space="preserve"> to produce outputs/report_numbers.json, then run `python tools/fill_appendix_e.py` to regenerate this document with the measured values substituted.</w:t>
      </w:r>
    </w:p>
    <w:p>
      <w:pPr>
        <w:spacing w:after="0"/>
      </w:pPr>
      <w:r>
        <w:br w:type="page"/>
      </w:r>
    </w:p>
    <w:p>
      <w:pPr>
        <w:pStyle w:val="Heading1"/>
        <w:spacing w:before="200" w:after="120" w:line="360" w:lineRule="auto"/>
        <w:keepNext/>
      </w:pPr>
      <w:r>
        <w:t xml:space="preserve">1  Executive Summary</w:t>
      </w:r>
    </w:p>
    <w:p>
      <w:pPr>
        <w:pStyle w:val="Heading2"/>
        <w:spacing w:before="200" w:after="120" w:line="360" w:lineRule="auto"/>
        <w:keepNext/>
      </w:pPr>
      <w:r>
        <w:t xml:space="preserve">1.1  Business objectives, problem statement and goals</w:t>
      </w:r>
    </w:p>
    <w:p>
      <w:pPr>
        <w:spacing w:before="0" w:after="120" w:line="360" w:lineRule="auto"/>
      </w:pPr>
      <w:r>
        <w:t xml:space="preserve">The client is an anonymised Colombian fintech offering savings, credit, loans, investments, bill payment and automatic savings through mobile and transactional channels. Its records describe what has already happened but do not answer the four forward-looking questions that drive its spending: which customers will stop transacting, which will generate future value, why satisfaction differs, and when transaction demand will peak. The team's Customer Intelligence Platform answers all four; this report covers the first.</w:t>
      </w:r>
    </w:p>
    <w:p>
      <w:pPr>
        <w:spacing w:before="0" w:after="120" w:line="360" w:lineRule="auto"/>
      </w:pPr>
      <w:r>
        <w:t xml:space="preserve">The business problem this workstream owns is narrower and sharper. Retention budget is finite, and it is currently spent reactively — often on customers who were never going to leave, while customers whose activity is quietly decaying receive nothing until they have already gone silent. The objective is therefore not to predict churn in the abstract but to produce </w:t>
      </w:r>
      <w:r>
        <w:rPr>
          <w:b/>
        </w:rPr>
        <w:t xml:space="preserve">a ranked, explainable call list of previously active customers who are about to go quiet and who are worth keeping</w:t>
      </w:r>
      <w:r>
        <w:t xml:space="preserve">.</w:t>
      </w:r>
    </w:p>
    <w:p>
      <w:pPr>
        <w:spacing w:before="0" w:after="120" w:line="360" w:lineRule="auto"/>
      </w:pPr>
      <w:r>
        <w:t xml:space="preserve">The stakeholder interview set the design constraint. María Rodríguez, Customer Operations Manager at Nu Colombia, was explicit in a 20-minute Microsoft Teams call on 16 July 2026: contacting every high-risk customer wastes resources, while missing a valuable one is a real commercial loss. That single sentence is why this workstream ends in a risk × value priority view rather than a risk score, and why the evaluation reports recall at a realistic outreach capacity rather than accuracy.</w:t>
      </w:r>
    </w:p>
    <w:p>
      <w:pPr>
        <w:pStyle w:val="Heading2"/>
        <w:spacing w:before="200" w:after="120" w:line="360" w:lineRule="auto"/>
        <w:keepNext/>
      </w:pPr>
      <w:r>
        <w:t xml:space="preserve">1.2  Hypothesis</w:t>
      </w:r>
    </w:p>
    <w:p>
      <w:pPr>
        <w:spacing w:before="0" w:after="120" w:line="360" w:lineRule="auto"/>
      </w:pPr>
      <w:r>
        <w:rPr>
          <w:i/>
        </w:rPr>
        <w:t xml:space="preserve">Among previously active customers, declining transaction frequency, longer recency, weaker app engagement, fewer active products, lower satisfaction, unresolved support issues and failed transactions increase the probability of no transactions during the following 60 days.</w:t>
      </w:r>
    </w:p>
    <w:p>
      <w:pPr>
        <w:spacing w:before="0" w:after="120" w:line="360" w:lineRule="auto"/>
      </w:pPr>
      <w:r>
        <w:t xml:space="preserve">Inside that statement sits the question worth answering, because the two halves imply different businesses: if </w:t>
      </w:r>
      <w:r>
        <w:rPr>
          <w:b/>
        </w:rPr>
        <w:t xml:space="preserve">recent behavioural change</w:t>
      </w:r>
      <w:r>
        <w:t xml:space="preserve"> carries the signal, retention should be event-triggered, firing when a specific customer's rhythm breaks. If </w:t>
      </w:r>
      <w:r>
        <w:rPr>
          <w:b/>
        </w:rPr>
        <w:t xml:space="preserve">static attributes</w:t>
      </w:r>
      <w:r>
        <w:t xml:space="preserve"> carry it, retention is a segmentation exercise and can be planned in advance. Section 3.3 answers this by training models on restricted feature families and comparing them, rather than inferring it from a single importance chart.</w:t>
      </w:r>
    </w:p>
    <w:p>
      <w:pPr>
        <w:pStyle w:val="Heading2"/>
        <w:spacing w:before="200" w:after="120" w:line="360" w:lineRule="auto"/>
        <w:keepNext/>
      </w:pPr>
      <w:r>
        <w:t xml:space="preserve">1.3  Goals and success criteria</w:t>
      </w:r>
    </w:p>
    <w:tbl>
      <w:tblPr>
        <w:tblStyle w:val="TableGrid"/>
        <w:tblW w:w="0" w:type="auto"/>
        <w:jc w:val="center"/>
        <w:tblLook w:val="04A0" w:firstRow="1" w:lastRow="0" w:firstColumn="1" w:lastColumn="0" w:noHBand="0" w:noVBand="1"/>
      </w:tblPr>
      <w:tblGrid>
        <w:gridCol w:w="2400"/>
        <w:gridCol w:w="7584"/>
      </w:tblGrid>
      <w:tr>
        <w:trPr>
          <w:jc w:val="center"/>
          <w:tblHeader/>
        </w:trPr>
        <w:tc>
          <w:tcPr>
            <w:tcW w:w="2400" w:type="dxa"/>
            <w:shd w:val="clear" w:color="auto" w:fill="14375A"/>
            <w:vAlign w:val="center"/>
          </w:tcPr>
          <w:p>
            <w:pPr>
              <w:spacing w:before="40" w:after="40" w:line="240" w:lineRule="auto"/>
            </w:pPr>
            <w:r>
              <w:rPr>
                <w:sz w:val="18"/>
                <w:szCs w:val="18"/>
                <w:b/>
                <w:color w:val="FFFFFF"/>
              </w:rPr>
              <w:t xml:space="preserve">Goal</w:t>
            </w:r>
          </w:p>
        </w:tc>
        <w:tc>
          <w:tcPr>
            <w:tcW w:w="7584" w:type="dxa"/>
            <w:shd w:val="clear" w:color="auto" w:fill="14375A"/>
            <w:vAlign w:val="center"/>
          </w:tcPr>
          <w:p>
            <w:pPr>
              <w:spacing w:before="40" w:after="40" w:line="240" w:lineRule="auto"/>
            </w:pPr>
            <w:r>
              <w:rPr>
                <w:sz w:val="18"/>
                <w:szCs w:val="18"/>
                <w:b/>
                <w:color w:val="FFFFFF"/>
              </w:rPr>
              <w:t xml:space="preserve">How this report evidences it</w:t>
            </w:r>
          </w:p>
        </w:tc>
      </w:tr>
      <w:tr>
        <w:trPr>
          <w:jc w:val="center"/>
        </w:trPr>
        <w:tc>
          <w:tcPr>
            <w:tcW w:w="2400" w:type="dxa"/>
            <w:vAlign w:val="center"/>
          </w:tcPr>
          <w:p>
            <w:pPr>
              <w:spacing w:before="40" w:after="40" w:line="240" w:lineRule="auto"/>
            </w:pPr>
            <w:r>
              <w:rPr>
                <w:sz w:val="18"/>
                <w:szCs w:val="18"/>
              </w:rPr>
              <w:t xml:space="preserve">Business relevance</w:t>
            </w:r>
          </w:p>
        </w:tc>
        <w:tc>
          <w:tcPr>
            <w:tcW w:w="7584" w:type="dxa"/>
            <w:vAlign w:val="center"/>
          </w:tcPr>
          <w:p>
            <w:pPr>
              <w:spacing w:before="40" w:after="40" w:line="240" w:lineRule="auto"/>
            </w:pPr>
            <w:r>
              <w:rPr>
                <w:sz w:val="18"/>
                <w:szCs w:val="18"/>
              </w:rPr>
              <w:t xml:space="preserve">A named decision (whom to contact), a named owner (customer operations) and an actionable output (a ranked, exportable list) — §4.</w:t>
            </w:r>
          </w:p>
        </w:tc>
      </w:tr>
      <w:tr>
        <w:trPr>
          <w:jc w:val="center"/>
        </w:trPr>
        <w:tc>
          <w:tcPr>
            <w:tcW w:w="2400" w:type="dxa"/>
            <w:vAlign w:val="center"/>
          </w:tcPr>
          <w:p>
            <w:pPr>
              <w:spacing w:before="40" w:after="40" w:line="240" w:lineRule="auto"/>
            </w:pPr>
            <w:r>
              <w:rPr>
                <w:sz w:val="18"/>
                <w:szCs w:val="18"/>
              </w:rPr>
              <w:t xml:space="preserve">Predictive effectiveness</w:t>
            </w:r>
          </w:p>
        </w:tc>
        <w:tc>
          <w:tcPr>
            <w:tcW w:w="7584" w:type="dxa"/>
            <w:vAlign w:val="center"/>
          </w:tcPr>
          <w:p>
            <w:pPr>
              <w:spacing w:before="40" w:after="40" w:line="240" w:lineRule="auto"/>
            </w:pPr>
            <w:r>
              <w:rPr>
                <w:sz w:val="18"/>
                <w:szCs w:val="18"/>
              </w:rPr>
              <w:t xml:space="preserve">Beats both a majority-class baseline and a tuned recency rule on the held-out cutoff — §3.1.</w:t>
            </w:r>
          </w:p>
        </w:tc>
      </w:tr>
      <w:tr>
        <w:trPr>
          <w:jc w:val="center"/>
        </w:trPr>
        <w:tc>
          <w:tcPr>
            <w:tcW w:w="2400" w:type="dxa"/>
            <w:vAlign w:val="center"/>
          </w:tcPr>
          <w:p>
            <w:pPr>
              <w:spacing w:before="40" w:after="40" w:line="240" w:lineRule="auto"/>
            </w:pPr>
            <w:r>
              <w:rPr>
                <w:sz w:val="18"/>
                <w:szCs w:val="18"/>
              </w:rPr>
              <w:t xml:space="preserve">Leakage prevention</w:t>
            </w:r>
          </w:p>
        </w:tc>
        <w:tc>
          <w:tcPr>
            <w:tcW w:w="7584" w:type="dxa"/>
            <w:vAlign w:val="center"/>
          </w:tcPr>
          <w:p>
            <w:pPr>
              <w:spacing w:before="40" w:after="40" w:line="240" w:lineRule="auto"/>
            </w:pPr>
            <w:r>
              <w:rPr>
                <w:sz w:val="18"/>
                <w:szCs w:val="18"/>
              </w:rPr>
              <w:t xml:space="preserve">Features computed only from transactions dated on or before each cutoff; all transformers fitted inside a pipeline on training data only — §2.4.</w:t>
            </w:r>
          </w:p>
        </w:tc>
      </w:tr>
      <w:tr>
        <w:trPr>
          <w:jc w:val="center"/>
        </w:trPr>
        <w:tc>
          <w:tcPr>
            <w:tcW w:w="2400" w:type="dxa"/>
            <w:vAlign w:val="center"/>
          </w:tcPr>
          <w:p>
            <w:pPr>
              <w:spacing w:before="40" w:after="40" w:line="240" w:lineRule="auto"/>
            </w:pPr>
            <w:r>
              <w:rPr>
                <w:sz w:val="18"/>
                <w:szCs w:val="18"/>
              </w:rPr>
              <w:t xml:space="preserve">Temporal generalisation</w:t>
            </w:r>
          </w:p>
        </w:tc>
        <w:tc>
          <w:tcPr>
            <w:tcW w:w="7584" w:type="dxa"/>
            <w:vAlign w:val="center"/>
          </w:tcPr>
          <w:p>
            <w:pPr>
              <w:spacing w:before="40" w:after="40" w:line="240" w:lineRule="auto"/>
            </w:pPr>
            <w:r>
              <w:rPr>
                <w:sz w:val="18"/>
                <w:szCs w:val="18"/>
              </w:rPr>
              <w:t xml:space="preserve">Two early cutoffs train, a later one tunes, the latest tests, with no outcome-window overlap — §2.3.</w:t>
            </w:r>
          </w:p>
        </w:tc>
      </w:tr>
      <w:tr>
        <w:trPr>
          <w:jc w:val="center"/>
        </w:trPr>
        <w:tc>
          <w:tcPr>
            <w:tcW w:w="2400" w:type="dxa"/>
            <w:vAlign w:val="center"/>
          </w:tcPr>
          <w:p>
            <w:pPr>
              <w:spacing w:before="40" w:after="40" w:line="240" w:lineRule="auto"/>
            </w:pPr>
            <w:r>
              <w:rPr>
                <w:sz w:val="18"/>
                <w:szCs w:val="18"/>
              </w:rPr>
              <w:t xml:space="preserve">Interpretability</w:t>
            </w:r>
          </w:p>
        </w:tc>
        <w:tc>
          <w:tcPr>
            <w:tcW w:w="7584" w:type="dxa"/>
            <w:vAlign w:val="center"/>
          </w:tcPr>
          <w:p>
            <w:pPr>
              <w:spacing w:before="40" w:after="40" w:line="240" w:lineRule="auto"/>
            </w:pPr>
            <w:r>
              <w:rPr>
                <w:sz w:val="18"/>
                <w:szCs w:val="18"/>
              </w:rPr>
              <w:t xml:space="preserve">Coefficients, permutation importance, feature-family ablation and per-customer drivers — §3.3–3.4.</w:t>
            </w:r>
          </w:p>
        </w:tc>
      </w:tr>
      <w:tr>
        <w:trPr>
          <w:jc w:val="center"/>
        </w:trPr>
        <w:tc>
          <w:tcPr>
            <w:tcW w:w="2400" w:type="dxa"/>
            <w:vAlign w:val="center"/>
          </w:tcPr>
          <w:p>
            <w:pPr>
              <w:spacing w:before="40" w:after="40" w:line="240" w:lineRule="auto"/>
            </w:pPr>
            <w:r>
              <w:rPr>
                <w:sz w:val="18"/>
                <w:szCs w:val="18"/>
              </w:rPr>
              <w:t xml:space="preserve">Scalability</w:t>
            </w:r>
          </w:p>
        </w:tc>
        <w:tc>
          <w:tcPr>
            <w:tcW w:w="7584" w:type="dxa"/>
            <w:vAlign w:val="center"/>
          </w:tcPr>
          <w:p>
            <w:pPr>
              <w:spacing w:before="40" w:after="40" w:line="240" w:lineRule="auto"/>
            </w:pPr>
            <w:r>
              <w:rPr>
                <w:sz w:val="18"/>
                <w:szCs w:val="18"/>
              </w:rPr>
              <w:t xml:space="preserve">Stage-level timings at 25/50/75/100% of the data, plus a Spark comparison — §5.</w:t>
            </w:r>
          </w:p>
        </w:tc>
      </w:tr>
      <w:tr>
        <w:trPr>
          <w:jc w:val="center"/>
        </w:trPr>
        <w:tc>
          <w:tcPr>
            <w:tcW w:w="2400" w:type="dxa"/>
            <w:vAlign w:val="center"/>
          </w:tcPr>
          <w:p>
            <w:pPr>
              <w:spacing w:before="40" w:after="40" w:line="240" w:lineRule="auto"/>
            </w:pPr>
            <w:r>
              <w:rPr>
                <w:sz w:val="18"/>
                <w:szCs w:val="18"/>
              </w:rPr>
              <w:t xml:space="preserve">Responsible interpretation</w:t>
            </w:r>
          </w:p>
        </w:tc>
        <w:tc>
          <w:tcPr>
            <w:tcW w:w="7584" w:type="dxa"/>
            <w:vAlign w:val="center"/>
          </w:tcPr>
          <w:p>
            <w:pPr>
              <w:spacing w:before="40" w:after="40" w:line="240" w:lineRule="auto"/>
            </w:pPr>
            <w:r>
              <w:rPr>
                <w:sz w:val="18"/>
                <w:szCs w:val="18"/>
              </w:rPr>
              <w:t xml:space="preserve">Inactivity distinguished from account closure, prediction from causation, and the untimestamped fields quantified rather than hidden — §3.5, §6.</w:t>
            </w:r>
          </w:p>
        </w:tc>
      </w:tr>
    </w:tbl>
    <w:p>
      <w:pPr>
        <w:spacing w:before="0" w:after="60" w:line="360" w:lineRule="auto"/>
      </w:pPr>
      <w:r>
        <w:t xml:space="preserve"/>
      </w:r>
    </w:p>
    <w:p>
      <w:pPr>
        <w:pStyle w:val="Heading2"/>
        <w:spacing w:before="200" w:after="120" w:line="360" w:lineRule="auto"/>
        <w:keepNext/>
      </w:pPr>
      <w:r>
        <w:t xml:space="preserve">1.4  Business scenario, insights and recommendations</w:t>
      </w:r>
    </w:p>
    <w:p>
      <w:pPr>
        <w:spacing w:before="0" w:after="120" w:line="360" w:lineRule="auto"/>
      </w:pPr>
      <w:r>
        <w:t xml:space="preserve">The dataset covers «data.customers» customers and «data.transactions_deduped» transactions from «data.ledger_start» to «data.ledger_end». Restricting attention to customers who transacted in the 90 days before each cutoff produced a panel of «panel.rows» customer-cutoff observations, of which «panel.test_inactive_pct» of the held-out test rows went on to record no transactions in the following 60 days.</w:t>
      </w:r>
    </w:p>
    <w:p>
      <w:pPr>
        <w:spacing w:before="0" w:after="120" w:line="360" w:lineRule="auto"/>
      </w:pPr>
      <w:r>
        <w:t xml:space="preserve">The strongest model on the held-out cutoff was </w:t>
      </w:r>
      <w:r>
        <w:rPr>
          <w:b/>
        </w:rPr>
        <w:t xml:space="preserve">«best_model.name»</w:t>
      </w:r>
      <w:r>
        <w:t xml:space="preserve">, reaching recall «best_model.recall» and precision «best_model.precision» at its validation-tuned threshold, with PR-AUC «best_model.pr_auc» against a test prevalence of «prevalence_test». Contacting only the highest-risk 10% of eligible customers captures «best_model.recall_top10pct» of everyone who actually went quiet; the top 20% captures «best_model.recall_top20pct».</w:t>
      </w:r>
    </w:p>
    <w:p>
      <w:pPr>
        <w:spacing w:before="0" w:after="120" w:line="360" w:lineRule="auto"/>
      </w:pPr>
      <w:r>
        <w:t xml:space="preserve">Three insights matter more than the headline metric:</w:t>
      </w:r>
    </w:p>
    <w:p>
      <w:pPr>
        <w:pStyle w:val="ListBullet"/>
        <w:spacing w:before="0" w:after="60" w:line="360" w:lineRule="auto"/>
      </w:pPr>
      <w:r>
        <w:rPr>
          <w:b/>
        </w:rPr>
        <w:t xml:space="preserve">A rule, not a model, is the honest benchmark.</w:t>
      </w:r>
      <w:r>
        <w:t xml:space="preserve"> A tuned 'silent for «baseline_rule.threshold_days» days' rule already achieves F1 «baseline_rule.f1», because recency is mechanically related to a target defined as future silence. The model's value is the margin above that rule, not its absolute score.</w:t>
      </w:r>
    </w:p>
    <w:p>
      <w:pPr>
        <w:pStyle w:val="ListBullet"/>
        <w:spacing w:before="0" w:after="60" w:line="360" w:lineRule="auto"/>
      </w:pPr>
      <w:r>
        <w:rPr>
          <w:b/>
        </w:rPr>
        <w:t xml:space="preserve">The feature families are separable.</w:t>
      </w:r>
      <w:r>
        <w:t xml:space="preserve"> Trend and rhythm features alone reach PR-AUC «ablation.trend/rhythm only.pr_auc»; static profile attributes alone reach «ablation.static profile only.pr_auc»; everything together reaches «ablation.full model.pr_auc». Section 3.3 reads the consequence for how retention should be operated.</w:t>
      </w:r>
    </w:p>
    <w:p>
      <w:pPr>
        <w:pStyle w:val="ListBullet"/>
        <w:spacing w:before="0" w:after="60" w:line="360" w:lineRule="auto"/>
      </w:pPr>
      <w:r>
        <w:rPr>
          <w:b/>
        </w:rPr>
        <w:t xml:space="preserve">Risk alone is the wrong sort order.</w:t>
      </w:r>
      <w:r>
        <w:t xml:space="preserve"> Ranking by risk × value concentrates the same number of contacts on customers whose departure actually costs the business something: the priority cell holds «priority_cell.customers» customers («priority_cell.pct_of_eligible»% of those eligible) at an observed inactivity rate of «priority_cell.inactivity_rate_pct»%.</w:t>
      </w:r>
    </w:p>
    <w:p>
      <w:pPr>
        <w:spacing w:before="0" w:after="120" w:line="360" w:lineRule="auto"/>
      </w:pPr>
      <w:r>
        <w:t xml:space="preserve">The recommendation is therefore to operate retention as an event-triggered process on the priority cell at a fixed weekly capacity, with the outreach threshold set by available staff rather than by a statistical cut-off — and to run the first campaign as a holdout experiment, because nothing in this analysis establishes that contacting a flagged customer changes their behaviour.</w:t>
      </w:r>
    </w:p>
    <w:p>
      <w:pPr>
        <w:spacing w:after="0"/>
      </w:pPr>
      <w:r>
        <w:br w:type="page"/>
      </w:r>
    </w:p>
    <w:p>
      <w:pPr>
        <w:pStyle w:val="Heading1"/>
        <w:spacing w:before="200" w:after="120" w:line="360" w:lineRule="auto"/>
        <w:keepNext/>
      </w:pPr>
      <w:r>
        <w:t xml:space="preserve">2  Data and Methodology</w:t>
      </w:r>
    </w:p>
    <w:p>
      <w:pPr>
        <w:pStyle w:val="Heading2"/>
        <w:spacing w:before="200" w:after="120" w:line="360" w:lineRule="auto"/>
        <w:keepNext/>
      </w:pPr>
      <w:r>
        <w:t xml:space="preserve">2.1  Datasets</w:t>
      </w:r>
    </w:p>
    <w:tbl>
      <w:tblPr>
        <w:tblStyle w:val="TableGrid"/>
        <w:tblW w:w="0" w:type="auto"/>
        <w:jc w:val="center"/>
        <w:tblLook w:val="04A0" w:firstRow="1" w:lastRow="0" w:firstColumn="1" w:lastColumn="0" w:noHBand="0" w:noVBand="1"/>
      </w:tblPr>
      <w:tblGrid>
        <w:gridCol w:w="2300"/>
        <w:gridCol w:w="4000"/>
        <w:gridCol w:w="1400"/>
        <w:gridCol w:w="2284"/>
      </w:tblGrid>
      <w:tr>
        <w:trPr>
          <w:jc w:val="center"/>
          <w:tblHeader/>
        </w:trPr>
        <w:tc>
          <w:tcPr>
            <w:tcW w:w="2300" w:type="dxa"/>
            <w:shd w:val="clear" w:color="auto" w:fill="14375A"/>
            <w:vAlign w:val="center"/>
          </w:tcPr>
          <w:p>
            <w:pPr>
              <w:spacing w:before="40" w:after="40" w:line="240" w:lineRule="auto"/>
            </w:pPr>
            <w:r>
              <w:rPr>
                <w:sz w:val="18"/>
                <w:szCs w:val="18"/>
                <w:b/>
                <w:color w:val="FFFFFF"/>
              </w:rPr>
              <w:t xml:space="preserve">Dataset</w:t>
            </w:r>
          </w:p>
        </w:tc>
        <w:tc>
          <w:tcPr>
            <w:tcW w:w="4000" w:type="dxa"/>
            <w:shd w:val="clear" w:color="auto" w:fill="14375A"/>
            <w:vAlign w:val="center"/>
          </w:tcPr>
          <w:p>
            <w:pPr>
              <w:spacing w:before="40" w:after="40" w:line="240" w:lineRule="auto"/>
            </w:pPr>
            <w:r>
              <w:rPr>
                <w:sz w:val="18"/>
                <w:szCs w:val="18"/>
                <w:b/>
                <w:color w:val="FFFFFF"/>
              </w:rPr>
              <w:t xml:space="preserve">Content</w:t>
            </w:r>
          </w:p>
        </w:tc>
        <w:tc>
          <w:tcPr>
            <w:tcW w:w="1400" w:type="dxa"/>
            <w:shd w:val="clear" w:color="auto" w:fill="14375A"/>
            <w:vAlign w:val="center"/>
          </w:tcPr>
          <w:p>
            <w:pPr>
              <w:spacing w:before="40" w:after="40" w:line="240" w:lineRule="auto"/>
            </w:pPr>
            <w:r>
              <w:rPr>
                <w:sz w:val="18"/>
                <w:szCs w:val="18"/>
                <w:b/>
                <w:color w:val="FFFFFF"/>
              </w:rPr>
              <w:t xml:space="preserve">Rows</w:t>
            </w:r>
          </w:p>
        </w:tc>
        <w:tc>
          <w:tcPr>
            <w:tcW w:w="2284" w:type="dxa"/>
            <w:shd w:val="clear" w:color="auto" w:fill="14375A"/>
            <w:vAlign w:val="center"/>
          </w:tcPr>
          <w:p>
            <w:pPr>
              <w:spacing w:before="40" w:after="40" w:line="240" w:lineRule="auto"/>
            </w:pPr>
            <w:r>
              <w:rPr>
                <w:sz w:val="18"/>
                <w:szCs w:val="18"/>
                <w:b/>
                <w:color w:val="FFFFFF"/>
              </w:rPr>
              <w:t xml:space="preserve">Use in this workstream</w:t>
            </w:r>
          </w:p>
        </w:tc>
      </w:tr>
      <w:tr>
        <w:trPr>
          <w:jc w:val="center"/>
        </w:trPr>
        <w:tc>
          <w:tcPr>
            <w:tcW w:w="2300" w:type="dxa"/>
            <w:vAlign w:val="center"/>
          </w:tcPr>
          <w:p>
            <w:pPr>
              <w:spacing w:before="40" w:after="40" w:line="240" w:lineRule="auto"/>
            </w:pPr>
            <w:r>
              <w:rPr>
                <w:sz w:val="18"/>
                <w:szCs w:val="18"/>
              </w:rPr>
              <w:t xml:space="preserve">customer_data.csv</w:t>
            </w:r>
          </w:p>
        </w:tc>
        <w:tc>
          <w:tcPr>
            <w:tcW w:w="4000" w:type="dxa"/>
            <w:vAlign w:val="center"/>
          </w:tcPr>
          <w:p>
            <w:pPr>
              <w:spacing w:before="40" w:after="40" w:line="240" w:lineRule="auto"/>
            </w:pPr>
            <w:r>
              <w:rPr>
                <w:sz w:val="18"/>
                <w:szCs w:val="18"/>
              </w:rPr>
              <w:t xml:space="preserve">Demographics, location, product holdings, app engagement, satisfaction, support and complaint fields</w:t>
            </w:r>
          </w:p>
        </w:tc>
        <w:tc>
          <w:tcPr>
            <w:tcW w:w="1400" w:type="dxa"/>
            <w:vAlign w:val="center"/>
          </w:tcPr>
          <w:p>
            <w:pPr>
              <w:spacing w:before="40" w:after="40" w:line="240" w:lineRule="auto"/>
            </w:pPr>
            <w:r>
              <w:rPr>
                <w:sz w:val="18"/>
                <w:szCs w:val="18"/>
              </w:rPr>
              <w:t xml:space="preserve">«data.customers»</w:t>
            </w:r>
          </w:p>
        </w:tc>
        <w:tc>
          <w:tcPr>
            <w:tcW w:w="2284" w:type="dxa"/>
            <w:vAlign w:val="center"/>
          </w:tcPr>
          <w:p>
            <w:pPr>
              <w:spacing w:before="40" w:after="40" w:line="240" w:lineRule="auto"/>
            </w:pPr>
            <w:r>
              <w:rPr>
                <w:sz w:val="18"/>
                <w:szCs w:val="18"/>
              </w:rPr>
              <w:t xml:space="preserve">Static and experience predictors</w:t>
            </w:r>
          </w:p>
        </w:tc>
      </w:tr>
      <w:tr>
        <w:trPr>
          <w:jc w:val="center"/>
        </w:trPr>
        <w:tc>
          <w:tcPr>
            <w:tcW w:w="2300" w:type="dxa"/>
            <w:vAlign w:val="center"/>
          </w:tcPr>
          <w:p>
            <w:pPr>
              <w:spacing w:before="40" w:after="40" w:line="240" w:lineRule="auto"/>
            </w:pPr>
            <w:r>
              <w:rPr>
                <w:sz w:val="18"/>
                <w:szCs w:val="18"/>
              </w:rPr>
              <w:t xml:space="preserve">transactions_data.csv</w:t>
            </w:r>
          </w:p>
        </w:tc>
        <w:tc>
          <w:tcPr>
            <w:tcW w:w="4000" w:type="dxa"/>
            <w:vAlign w:val="center"/>
          </w:tcPr>
          <w:p>
            <w:pPr>
              <w:spacing w:before="40" w:after="40" w:line="240" w:lineRule="auto"/>
            </w:pPr>
            <w:r>
              <w:rPr>
                <w:sz w:val="18"/>
                <w:szCs w:val="18"/>
              </w:rPr>
              <w:t xml:space="preserve">Raw ledger: customer_id, date, amount (COP), type</w:t>
            </w:r>
          </w:p>
        </w:tc>
        <w:tc>
          <w:tcPr>
            <w:tcW w:w="1400" w:type="dxa"/>
            <w:vAlign w:val="center"/>
          </w:tcPr>
          <w:p>
            <w:pPr>
              <w:spacing w:before="40" w:after="40" w:line="240" w:lineRule="auto"/>
            </w:pPr>
            <w:r>
              <w:rPr>
                <w:sz w:val="18"/>
                <w:szCs w:val="18"/>
              </w:rPr>
              <w:t xml:space="preserve">«data.transactions_deduped»</w:t>
            </w:r>
          </w:p>
        </w:tc>
        <w:tc>
          <w:tcPr>
            <w:tcW w:w="2284" w:type="dxa"/>
            <w:vAlign w:val="center"/>
          </w:tcPr>
          <w:p>
            <w:pPr>
              <w:spacing w:before="40" w:after="40" w:line="240" w:lineRule="auto"/>
            </w:pPr>
            <w:r>
              <w:rPr>
                <w:sz w:val="18"/>
                <w:szCs w:val="18"/>
              </w:rPr>
              <w:t xml:space="preserve">All behavioural features and the target</w:t>
            </w:r>
          </w:p>
        </w:tc>
      </w:tr>
      <w:tr>
        <w:trPr>
          <w:jc w:val="center"/>
        </w:trPr>
        <w:tc>
          <w:tcPr>
            <w:tcW w:w="2300" w:type="dxa"/>
            <w:vAlign w:val="center"/>
          </w:tcPr>
          <w:p>
            <w:pPr>
              <w:spacing w:before="40" w:after="40" w:line="240" w:lineRule="auto"/>
            </w:pPr>
            <w:r>
              <w:rPr>
                <w:sz w:val="18"/>
                <w:szCs w:val="18"/>
              </w:rPr>
              <w:t xml:space="preserve">retention_panel (derived)</w:t>
            </w:r>
          </w:p>
        </w:tc>
        <w:tc>
          <w:tcPr>
            <w:tcW w:w="4000" w:type="dxa"/>
            <w:vAlign w:val="center"/>
          </w:tcPr>
          <w:p>
            <w:pPr>
              <w:spacing w:before="40" w:after="40" w:line="240" w:lineRule="auto"/>
            </w:pPr>
            <w:r>
              <w:rPr>
                <w:sz w:val="18"/>
                <w:szCs w:val="18"/>
              </w:rPr>
              <w:t xml:space="preserve">One row per (customer, observation cutoff) with leakage-controlled features and the label</w:t>
            </w:r>
          </w:p>
        </w:tc>
        <w:tc>
          <w:tcPr>
            <w:tcW w:w="1400" w:type="dxa"/>
            <w:vAlign w:val="center"/>
          </w:tcPr>
          <w:p>
            <w:pPr>
              <w:spacing w:before="40" w:after="40" w:line="240" w:lineRule="auto"/>
            </w:pPr>
            <w:r>
              <w:rPr>
                <w:sz w:val="18"/>
                <w:szCs w:val="18"/>
              </w:rPr>
              <w:t xml:space="preserve">«panel.rows»</w:t>
            </w:r>
          </w:p>
        </w:tc>
        <w:tc>
          <w:tcPr>
            <w:tcW w:w="2284" w:type="dxa"/>
            <w:vAlign w:val="center"/>
          </w:tcPr>
          <w:p>
            <w:pPr>
              <w:spacing w:before="40" w:after="40" w:line="240" w:lineRule="auto"/>
            </w:pPr>
            <w:r>
              <w:rPr>
                <w:sz w:val="18"/>
                <w:szCs w:val="18"/>
              </w:rPr>
              <w:t xml:space="preserve">The modelling table</w:t>
            </w:r>
          </w:p>
        </w:tc>
      </w:tr>
    </w:tbl>
    <w:p>
      <w:pPr>
        <w:spacing w:before="0" w:after="60" w:line="360" w:lineRule="auto"/>
      </w:pPr>
      <w:r>
        <w:t xml:space="preserve"/>
      </w:r>
    </w:p>
    <w:p>
      <w:pPr>
        <w:spacing w:before="0" w:after="120" w:line="360" w:lineRule="auto"/>
      </w:pPr>
      <w:r>
        <w:t xml:space="preserve">Both source files come from COFINFAD (Mendeley Data, doi:10.17632/mhb4zn3258). The supporting industry sources listed in §8 justify the business context but are deliberately not joined to customer records: national aggregates cannot be attributed to individuals without inventing a relationship that does not exist in the data.</w:t>
      </w:r>
    </w:p>
    <w:p>
      <w:pPr>
        <w:pStyle w:val="Heading2"/>
        <w:spacing w:before="200" w:after="120" w:line="360" w:lineRule="auto"/>
        <w:keepNext/>
      </w:pPr>
      <w:r>
        <w:t xml:space="preserve">2.2  Data preparation, and the decisions inside it</w:t>
      </w:r>
    </w:p>
    <w:p>
      <w:pPr>
        <w:spacing w:before="0" w:after="120" w:line="360" w:lineRule="auto"/>
      </w:pPr>
      <w:r>
        <w:t xml:space="preserve">The exploration stage produced one finding that changed the plan for all four workstreams. The customer table carries two similarly named groups of transaction summaries. One group (`tx_count`, `avg_tx_value`, `total_tx_volume`, `first_tx`, `last_tx`) reconciles with the raw ledger for 100% of customers. The other (`average_transaction_value`, `total_transaction_volume`, `weekend_transaction_ratio`, `last_transaction_date` and companions) does not: correlations with the ledger it claims to summarise are approximately zero, and `last_transaction_date` agrees with the ledger for only 3.6% of customers. The second group is excluded rather than repaired, and every behavioural feature is recomputed from the ledger.</w:t>
      </w:r>
    </w:p>
    <w:p>
      <w:pPr>
        <w:spacing w:before="0" w:after="120" w:line="360" w:lineRule="auto"/>
      </w:pPr>
      <w:r>
        <w:t xml:space="preserve">In total «data.columns_excluded» columns were excluded before modelling, each with a recorded reason, and «data.features_used» features were used. The substantive preparation decisions were:</w:t>
      </w:r>
    </w:p>
    <w:tbl>
      <w:tblPr>
        <w:tblStyle w:val="TableGrid"/>
        <w:tblW w:w="0" w:type="auto"/>
        <w:jc w:val="center"/>
        <w:tblLook w:val="04A0" w:firstRow="1" w:lastRow="0" w:firstColumn="1" w:lastColumn="0" w:noHBand="0" w:noVBand="1"/>
      </w:tblPr>
      <w:tblGrid>
        <w:gridCol w:w="3000"/>
        <w:gridCol w:w="6984"/>
      </w:tblGrid>
      <w:tr>
        <w:trPr>
          <w:jc w:val="center"/>
          <w:tblHeader/>
        </w:trPr>
        <w:tc>
          <w:tcPr>
            <w:tcW w:w="3000" w:type="dxa"/>
            <w:shd w:val="clear" w:color="auto" w:fill="14375A"/>
            <w:vAlign w:val="center"/>
          </w:tcPr>
          <w:p>
            <w:pPr>
              <w:spacing w:before="40" w:after="40" w:line="240" w:lineRule="auto"/>
            </w:pPr>
            <w:r>
              <w:rPr>
                <w:sz w:val="18"/>
                <w:szCs w:val="18"/>
                <w:b/>
                <w:color w:val="FFFFFF"/>
              </w:rPr>
              <w:t xml:space="preserve">Decision</w:t>
            </w:r>
          </w:p>
        </w:tc>
        <w:tc>
          <w:tcPr>
            <w:tcW w:w="6984" w:type="dxa"/>
            <w:shd w:val="clear" w:color="auto" w:fill="14375A"/>
            <w:vAlign w:val="center"/>
          </w:tcPr>
          <w:p>
            <w:pPr>
              <w:spacing w:before="40" w:after="40" w:line="240" w:lineRule="auto"/>
            </w:pPr>
            <w:r>
              <w:rPr>
                <w:sz w:val="18"/>
                <w:szCs w:val="18"/>
                <w:b/>
                <w:color w:val="FFFFFF"/>
              </w:rPr>
              <w:t xml:space="preserve">Rationale</w:t>
            </w:r>
          </w:p>
        </w:tc>
      </w:tr>
      <w:tr>
        <w:trPr>
          <w:jc w:val="center"/>
        </w:trPr>
        <w:tc>
          <w:tcPr>
            <w:tcW w:w="3000" w:type="dxa"/>
            <w:vAlign w:val="center"/>
          </w:tcPr>
          <w:p>
            <w:pPr>
              <w:spacing w:before="40" w:after="40" w:line="240" w:lineRule="auto"/>
            </w:pPr>
            <w:r>
              <w:rPr>
                <w:sz w:val="18"/>
                <w:szCs w:val="18"/>
              </w:rPr>
              <w:t xml:space="preserve">Drop «data.duplicates_dropped» exactly duplicated transaction rows</w:t>
            </w:r>
          </w:p>
        </w:tc>
        <w:tc>
          <w:tcPr>
            <w:tcW w:w="6984" w:type="dxa"/>
            <w:vAlign w:val="center"/>
          </w:tcPr>
          <w:p>
            <w:pPr>
              <w:spacing w:before="40" w:after="40" w:line="240" w:lineRule="auto"/>
            </w:pPr>
            <w:r>
              <w:rPr>
                <w:sz w:val="18"/>
                <w:szCs w:val="18"/>
              </w:rPr>
              <w:t xml:space="preserve">The ledger has no transaction identifier, so an identical (customer, date, amount, type) quadruple is indistinguishable from a double-write. At 0.003% of rows the choice cannot change a conclusion, so the more likely explanation is taken and the count recorded.</w:t>
            </w:r>
          </w:p>
        </w:tc>
      </w:tr>
      <w:tr>
        <w:trPr>
          <w:jc w:val="center"/>
        </w:trPr>
        <w:tc>
          <w:tcPr>
            <w:tcW w:w="3000" w:type="dxa"/>
            <w:vAlign w:val="center"/>
          </w:tcPr>
          <w:p>
            <w:pPr>
              <w:spacing w:before="40" w:after="40" w:line="240" w:lineRule="auto"/>
            </w:pPr>
            <w:r>
              <w:rPr>
                <w:sz w:val="18"/>
                <w:szCs w:val="18"/>
              </w:rPr>
              <w:t xml:space="preserve">Exclude the verified full-period aggregates too</w:t>
            </w:r>
          </w:p>
        </w:tc>
        <w:tc>
          <w:tcPr>
            <w:tcW w:w="6984" w:type="dxa"/>
            <w:vAlign w:val="center"/>
          </w:tcPr>
          <w:p>
            <w:pPr>
              <w:spacing w:before="40" w:after="40" w:line="240" w:lineRule="auto"/>
            </w:pPr>
            <w:r>
              <w:rPr>
                <w:sz w:val="18"/>
                <w:szCs w:val="18"/>
              </w:rPr>
              <w:t xml:space="preserve">`tx_count` and friends are accurate but summarise the whole year — including the outcome window. Accuracy is not the same as admissibility.</w:t>
            </w:r>
          </w:p>
        </w:tc>
      </w:tr>
      <w:tr>
        <w:trPr>
          <w:jc w:val="center"/>
        </w:trPr>
        <w:tc>
          <w:tcPr>
            <w:tcW w:w="3000" w:type="dxa"/>
            <w:vAlign w:val="center"/>
          </w:tcPr>
          <w:p>
            <w:pPr>
              <w:spacing w:before="40" w:after="40" w:line="240" w:lineRule="auto"/>
            </w:pPr>
            <w:r>
              <w:rPr>
                <w:sz w:val="18"/>
                <w:szCs w:val="18"/>
              </w:rPr>
              <w:t xml:space="preserve">Exclude `churn_probability` and `customer_lifetime_value`</w:t>
            </w:r>
          </w:p>
        </w:tc>
        <w:tc>
          <w:tcPr>
            <w:tcW w:w="6984" w:type="dxa"/>
            <w:vAlign w:val="center"/>
          </w:tcPr>
          <w:p>
            <w:pPr>
              <w:spacing w:before="40" w:after="40" w:line="240" w:lineRule="auto"/>
            </w:pPr>
            <w:r>
              <w:rPr>
                <w:sz w:val="18"/>
                <w:szCs w:val="18"/>
              </w:rPr>
              <w:t xml:space="preserve">The first is a supplied churn score, which is the target in disguise; the second is a whole-period value estimate and belongs to Member B's workstream.</w:t>
            </w:r>
          </w:p>
        </w:tc>
      </w:tr>
      <w:tr>
        <w:trPr>
          <w:jc w:val="center"/>
        </w:trPr>
        <w:tc>
          <w:tcPr>
            <w:tcW w:w="3000" w:type="dxa"/>
            <w:vAlign w:val="center"/>
          </w:tcPr>
          <w:p>
            <w:pPr>
              <w:spacing w:before="40" w:after="40" w:line="240" w:lineRule="auto"/>
            </w:pPr>
            <w:r>
              <w:rPr>
                <w:sz w:val="18"/>
                <w:szCs w:val="18"/>
              </w:rPr>
              <w:t xml:space="preserve">Recompute tenure from the ledger at each cutoff</w:t>
            </w:r>
          </w:p>
        </w:tc>
        <w:tc>
          <w:tcPr>
            <w:tcW w:w="6984" w:type="dxa"/>
            <w:vAlign w:val="center"/>
          </w:tcPr>
          <w:p>
            <w:pPr>
              <w:spacing w:before="40" w:after="40" w:line="240" w:lineRule="auto"/>
            </w:pPr>
            <w:r>
              <w:rPr>
                <w:sz w:val="18"/>
                <w:szCs w:val="18"/>
              </w:rPr>
              <w:t xml:space="preserve">The supplied `customer_tenure` is measured at dataset end, so reusing it at an earlier cutoff would import information from after that cutoff.</w:t>
            </w:r>
          </w:p>
        </w:tc>
      </w:tr>
      <w:tr>
        <w:trPr>
          <w:jc w:val="center"/>
        </w:trPr>
        <w:tc>
          <w:tcPr>
            <w:tcW w:w="3000" w:type="dxa"/>
            <w:vAlign w:val="center"/>
          </w:tcPr>
          <w:p>
            <w:pPr>
              <w:spacing w:before="40" w:after="40" w:line="240" w:lineRule="auto"/>
            </w:pPr>
            <w:r>
              <w:rPr>
                <w:sz w:val="18"/>
                <w:szCs w:val="18"/>
              </w:rPr>
              <w:t xml:space="preserve">Treat missingness as structure, not as a gap</w:t>
            </w:r>
          </w:p>
        </w:tc>
        <w:tc>
          <w:tcPr>
            <w:tcW w:w="6984" w:type="dxa"/>
            <w:vAlign w:val="center"/>
          </w:tcPr>
          <w:p>
            <w:pPr>
              <w:spacing w:before="40" w:after="40" w:line="240" w:lineRule="auto"/>
            </w:pPr>
            <w:r>
              <w:rPr>
                <w:sz w:val="18"/>
                <w:szCs w:val="18"/>
              </w:rPr>
              <w:t xml:space="preserve">`credit_utilization_ratio` is missing precisely for customers with no credit card, and `complaint_topics` for customers who never complained. These became explicit indicator flags; mean-imputing them would have invented a utilisation ratio for people who cannot utilise anything.</w:t>
            </w:r>
          </w:p>
        </w:tc>
      </w:tr>
    </w:tbl>
    <w:p>
      <w:pPr>
        <w:spacing w:before="0" w:after="60" w:line="360" w:lineRule="auto"/>
      </w:pPr>
      <w:r>
        <w:t xml:space="preserve"/>
      </w:r>
    </w:p>
    <w:p>
      <w:pPr>
        <w:pStyle w:val="Heading2"/>
        <w:spacing w:before="200" w:after="120" w:line="360" w:lineRule="auto"/>
        <w:keepNext/>
      </w:pPr>
      <w:r>
        <w:t xml:space="preserve">2.3  Panel design and the target</w:t>
      </w:r>
    </w:p>
    <w:p>
      <w:pPr>
        <w:spacing w:before="0" w:after="120" w:line="360" w:lineRule="auto"/>
      </w:pPr>
      <w:r>
        <w:t xml:space="preserve">`inactive_next_60d` is 1 when a customer records no transaction in the 60 days after an observation cutoff. A single snapshot would give one observation per customer and no way to test temporal generalisation, so the design is a panel of four cutoffs: features look only backwards, the label only forwards.</w:t>
      </w:r>
    </w:p>
    <w:tbl>
      <w:tblPr>
        <w:tblStyle w:val="TableGrid"/>
        <w:tblW w:w="0" w:type="auto"/>
        <w:jc w:val="center"/>
        <w:tblLook w:val="04A0" w:firstRow="1" w:lastRow="0" w:firstColumn="1" w:lastColumn="0" w:noHBand="0" w:noVBand="1"/>
      </w:tblPr>
      <w:tblGrid>
        <w:gridCol w:w="1400"/>
        <w:gridCol w:w="1500"/>
        <w:gridCol w:w="2600"/>
        <w:gridCol w:w="2600"/>
        <w:gridCol w:w="1884"/>
      </w:tblGrid>
      <w:tr>
        <w:trPr>
          <w:jc w:val="center"/>
          <w:tblHeader/>
        </w:trPr>
        <w:tc>
          <w:tcPr>
            <w:tcW w:w="1400" w:type="dxa"/>
            <w:shd w:val="clear" w:color="auto" w:fill="14375A"/>
            <w:vAlign w:val="center"/>
          </w:tcPr>
          <w:p>
            <w:pPr>
              <w:spacing w:before="40" w:after="40" w:line="240" w:lineRule="auto"/>
            </w:pPr>
            <w:r>
              <w:rPr>
                <w:sz w:val="17"/>
                <w:szCs w:val="17"/>
                <w:b/>
                <w:color w:val="FFFFFF"/>
              </w:rPr>
              <w:t xml:space="preserve">Role</w:t>
            </w:r>
          </w:p>
        </w:tc>
        <w:tc>
          <w:tcPr>
            <w:tcW w:w="1500" w:type="dxa"/>
            <w:shd w:val="clear" w:color="auto" w:fill="14375A"/>
            <w:vAlign w:val="center"/>
          </w:tcPr>
          <w:p>
            <w:pPr>
              <w:spacing w:before="40" w:after="40" w:line="240" w:lineRule="auto"/>
            </w:pPr>
            <w:r>
              <w:rPr>
                <w:sz w:val="17"/>
                <w:szCs w:val="17"/>
                <w:b/>
                <w:color w:val="FFFFFF"/>
              </w:rPr>
              <w:t xml:space="preserve">Cutoff</w:t>
            </w:r>
          </w:p>
        </w:tc>
        <w:tc>
          <w:tcPr>
            <w:tcW w:w="2600" w:type="dxa"/>
            <w:shd w:val="clear" w:color="auto" w:fill="14375A"/>
            <w:vAlign w:val="center"/>
          </w:tcPr>
          <w:p>
            <w:pPr>
              <w:spacing w:before="40" w:after="40" w:line="240" w:lineRule="auto"/>
            </w:pPr>
            <w:r>
              <w:rPr>
                <w:sz w:val="17"/>
                <w:szCs w:val="17"/>
                <w:b/>
                <w:color w:val="FFFFFF"/>
              </w:rPr>
              <w:t xml:space="preserve">Feature window (90 days)</w:t>
            </w:r>
          </w:p>
        </w:tc>
        <w:tc>
          <w:tcPr>
            <w:tcW w:w="2600" w:type="dxa"/>
            <w:shd w:val="clear" w:color="auto" w:fill="14375A"/>
            <w:vAlign w:val="center"/>
          </w:tcPr>
          <w:p>
            <w:pPr>
              <w:spacing w:before="40" w:after="40" w:line="240" w:lineRule="auto"/>
            </w:pPr>
            <w:r>
              <w:rPr>
                <w:sz w:val="17"/>
                <w:szCs w:val="17"/>
                <w:b/>
                <w:color w:val="FFFFFF"/>
              </w:rPr>
              <w:t xml:space="preserve">Outcome window (60 days)</w:t>
            </w:r>
          </w:p>
        </w:tc>
        <w:tc>
          <w:tcPr>
            <w:tcW w:w="1884" w:type="dxa"/>
            <w:shd w:val="clear" w:color="auto" w:fill="14375A"/>
            <w:vAlign w:val="center"/>
          </w:tcPr>
          <w:p>
            <w:pPr>
              <w:spacing w:before="40" w:after="40" w:line="240" w:lineRule="auto"/>
            </w:pPr>
            <w:r>
              <w:rPr>
                <w:sz w:val="17"/>
                <w:szCs w:val="17"/>
                <w:b/>
                <w:color w:val="FFFFFF"/>
              </w:rPr>
              <w:t xml:space="preserve">Rows</w:t>
            </w:r>
          </w:p>
        </w:tc>
      </w:tr>
      <w:tr>
        <w:trPr>
          <w:jc w:val="center"/>
        </w:trPr>
        <w:tc>
          <w:tcPr>
            <w:tcW w:w="1400" w:type="dxa"/>
            <w:vAlign w:val="center"/>
          </w:tcPr>
          <w:p>
            <w:pPr>
              <w:spacing w:before="40" w:after="40" w:line="240" w:lineRule="auto"/>
            </w:pPr>
            <w:r>
              <w:rPr>
                <w:sz w:val="17"/>
                <w:szCs w:val="17"/>
              </w:rPr>
              <w:t xml:space="preserve">Train</w:t>
            </w:r>
          </w:p>
        </w:tc>
        <w:tc>
          <w:tcPr>
            <w:tcW w:w="1500" w:type="dxa"/>
            <w:vAlign w:val="center"/>
          </w:tcPr>
          <w:p>
            <w:pPr>
              <w:spacing w:before="40" w:after="40" w:line="240" w:lineRule="auto"/>
            </w:pPr>
            <w:r>
              <w:rPr>
                <w:sz w:val="17"/>
                <w:szCs w:val="17"/>
              </w:rPr>
              <w:t xml:space="preserve">2023-05-31</w:t>
            </w:r>
          </w:p>
        </w:tc>
        <w:tc>
          <w:tcPr>
            <w:tcW w:w="2600" w:type="dxa"/>
            <w:vAlign w:val="center"/>
          </w:tcPr>
          <w:p>
            <w:pPr>
              <w:spacing w:before="40" w:after="40" w:line="240" w:lineRule="auto"/>
            </w:pPr>
            <w:r>
              <w:rPr>
                <w:sz w:val="17"/>
                <w:szCs w:val="17"/>
              </w:rPr>
              <w:t xml:space="preserve">2023-03-03 → 2023-05-31</w:t>
            </w:r>
          </w:p>
        </w:tc>
        <w:tc>
          <w:tcPr>
            <w:tcW w:w="2600" w:type="dxa"/>
            <w:vAlign w:val="center"/>
          </w:tcPr>
          <w:p>
            <w:pPr>
              <w:spacing w:before="40" w:after="40" w:line="240" w:lineRule="auto"/>
            </w:pPr>
            <w:r>
              <w:rPr>
                <w:sz w:val="17"/>
                <w:szCs w:val="17"/>
              </w:rPr>
              <w:t xml:space="preserve">2023-06-01 → 2023-07-30</w:t>
            </w:r>
          </w:p>
        </w:tc>
        <w:tc>
          <w:tcPr>
            <w:tcW w:w="1884" w:type="dxa"/>
            <w:vAlign w:val="center"/>
          </w:tcPr>
          <w:p>
            <w:pPr>
              <w:spacing w:before="40" w:after="40" w:line="240" w:lineRule="auto"/>
            </w:pPr>
            <w:r>
              <w:rPr>
                <w:sz w:val="17"/>
                <w:szCs w:val="17"/>
              </w:rPr>
              <w:t xml:space="preserve">«panel.train_rows»</w:t>
            </w:r>
          </w:p>
        </w:tc>
      </w:tr>
      <w:tr>
        <w:trPr>
          <w:jc w:val="center"/>
        </w:trPr>
        <w:tc>
          <w:tcPr>
            <w:tcW w:w="1400" w:type="dxa"/>
            <w:vAlign w:val="center"/>
          </w:tcPr>
          <w:p>
            <w:pPr>
              <w:spacing w:before="40" w:after="40" w:line="240" w:lineRule="auto"/>
            </w:pPr>
            <w:r>
              <w:rPr>
                <w:sz w:val="17"/>
                <w:szCs w:val="17"/>
              </w:rPr>
              <w:t xml:space="preserve">Train</w:t>
            </w:r>
          </w:p>
        </w:tc>
        <w:tc>
          <w:tcPr>
            <w:tcW w:w="1500" w:type="dxa"/>
            <w:vAlign w:val="center"/>
          </w:tcPr>
          <w:p>
            <w:pPr>
              <w:spacing w:before="40" w:after="40" w:line="240" w:lineRule="auto"/>
            </w:pPr>
            <w:r>
              <w:rPr>
                <w:sz w:val="17"/>
                <w:szCs w:val="17"/>
              </w:rPr>
              <w:t xml:space="preserve">2023-06-30</w:t>
            </w:r>
          </w:p>
        </w:tc>
        <w:tc>
          <w:tcPr>
            <w:tcW w:w="2600" w:type="dxa"/>
            <w:vAlign w:val="center"/>
          </w:tcPr>
          <w:p>
            <w:pPr>
              <w:spacing w:before="40" w:after="40" w:line="240" w:lineRule="auto"/>
            </w:pPr>
            <w:r>
              <w:rPr>
                <w:sz w:val="17"/>
                <w:szCs w:val="17"/>
              </w:rPr>
              <w:t xml:space="preserve">2023-04-02 → 2023-06-30</w:t>
            </w:r>
          </w:p>
        </w:tc>
        <w:tc>
          <w:tcPr>
            <w:tcW w:w="2600" w:type="dxa"/>
            <w:vAlign w:val="center"/>
          </w:tcPr>
          <w:p>
            <w:pPr>
              <w:spacing w:before="40" w:after="40" w:line="240" w:lineRule="auto"/>
            </w:pPr>
            <w:r>
              <w:rPr>
                <w:sz w:val="17"/>
                <w:szCs w:val="17"/>
              </w:rPr>
              <w:t xml:space="preserve">2023-07-01 → 2023-08-29</w:t>
            </w:r>
          </w:p>
        </w:tc>
        <w:tc>
          <w:tcPr>
            <w:tcW w:w="1884" w:type="dxa"/>
            <w:vAlign w:val="center"/>
          </w:tcPr>
          <w:p>
            <w:pPr>
              <w:spacing w:before="40" w:after="40" w:line="240" w:lineRule="auto"/>
            </w:pPr>
            <w:r>
              <w:rPr>
                <w:sz w:val="17"/>
                <w:szCs w:val="17"/>
              </w:rPr>
              <w:t xml:space="preserve">(combined)</w:t>
            </w:r>
          </w:p>
        </w:tc>
      </w:tr>
      <w:tr>
        <w:trPr>
          <w:jc w:val="center"/>
        </w:trPr>
        <w:tc>
          <w:tcPr>
            <w:tcW w:w="1400" w:type="dxa"/>
            <w:vAlign w:val="center"/>
          </w:tcPr>
          <w:p>
            <w:pPr>
              <w:spacing w:before="40" w:after="40" w:line="240" w:lineRule="auto"/>
            </w:pPr>
            <w:r>
              <w:rPr>
                <w:sz w:val="17"/>
                <w:szCs w:val="17"/>
              </w:rPr>
              <w:t xml:space="preserve">Validation</w:t>
            </w:r>
          </w:p>
        </w:tc>
        <w:tc>
          <w:tcPr>
            <w:tcW w:w="1500" w:type="dxa"/>
            <w:vAlign w:val="center"/>
          </w:tcPr>
          <w:p>
            <w:pPr>
              <w:spacing w:before="40" w:after="40" w:line="240" w:lineRule="auto"/>
            </w:pPr>
            <w:r>
              <w:rPr>
                <w:sz w:val="17"/>
                <w:szCs w:val="17"/>
              </w:rPr>
              <w:t xml:space="preserve">2023-08-31</w:t>
            </w:r>
          </w:p>
        </w:tc>
        <w:tc>
          <w:tcPr>
            <w:tcW w:w="2600" w:type="dxa"/>
            <w:vAlign w:val="center"/>
          </w:tcPr>
          <w:p>
            <w:pPr>
              <w:spacing w:before="40" w:after="40" w:line="240" w:lineRule="auto"/>
            </w:pPr>
            <w:r>
              <w:rPr>
                <w:sz w:val="17"/>
                <w:szCs w:val="17"/>
              </w:rPr>
              <w:t xml:space="preserve">2023-06-03 → 2023-08-31</w:t>
            </w:r>
          </w:p>
        </w:tc>
        <w:tc>
          <w:tcPr>
            <w:tcW w:w="2600" w:type="dxa"/>
            <w:vAlign w:val="center"/>
          </w:tcPr>
          <w:p>
            <w:pPr>
              <w:spacing w:before="40" w:after="40" w:line="240" w:lineRule="auto"/>
            </w:pPr>
            <w:r>
              <w:rPr>
                <w:sz w:val="17"/>
                <w:szCs w:val="17"/>
              </w:rPr>
              <w:t xml:space="preserve">2023-09-01 → 2023-10-30</w:t>
            </w:r>
          </w:p>
        </w:tc>
        <w:tc>
          <w:tcPr>
            <w:tcW w:w="1884" w:type="dxa"/>
            <w:vAlign w:val="center"/>
          </w:tcPr>
          <w:p>
            <w:pPr>
              <w:spacing w:before="40" w:after="40" w:line="240" w:lineRule="auto"/>
            </w:pPr>
            <w:r>
              <w:rPr>
                <w:sz w:val="17"/>
                <w:szCs w:val="17"/>
              </w:rPr>
              <w:t xml:space="preserve">«panel.valid_rows»</w:t>
            </w:r>
          </w:p>
        </w:tc>
      </w:tr>
      <w:tr>
        <w:trPr>
          <w:jc w:val="center"/>
        </w:trPr>
        <w:tc>
          <w:tcPr>
            <w:tcW w:w="1400" w:type="dxa"/>
            <w:vAlign w:val="center"/>
          </w:tcPr>
          <w:p>
            <w:pPr>
              <w:spacing w:before="40" w:after="40" w:line="240" w:lineRule="auto"/>
            </w:pPr>
            <w:r>
              <w:rPr>
                <w:sz w:val="17"/>
                <w:szCs w:val="17"/>
              </w:rPr>
              <w:t xml:space="preserve">Test</w:t>
            </w:r>
          </w:p>
        </w:tc>
        <w:tc>
          <w:tcPr>
            <w:tcW w:w="1500" w:type="dxa"/>
            <w:vAlign w:val="center"/>
          </w:tcPr>
          <w:p>
            <w:pPr>
              <w:spacing w:before="40" w:after="40" w:line="240" w:lineRule="auto"/>
            </w:pPr>
            <w:r>
              <w:rPr>
                <w:sz w:val="17"/>
                <w:szCs w:val="17"/>
              </w:rPr>
              <w:t xml:space="preserve">2023-10-30</w:t>
            </w:r>
          </w:p>
        </w:tc>
        <w:tc>
          <w:tcPr>
            <w:tcW w:w="2600" w:type="dxa"/>
            <w:vAlign w:val="center"/>
          </w:tcPr>
          <w:p>
            <w:pPr>
              <w:spacing w:before="40" w:after="40" w:line="240" w:lineRule="auto"/>
            </w:pPr>
            <w:r>
              <w:rPr>
                <w:sz w:val="17"/>
                <w:szCs w:val="17"/>
              </w:rPr>
              <w:t xml:space="preserve">2023-08-02 → 2023-10-30</w:t>
            </w:r>
          </w:p>
        </w:tc>
        <w:tc>
          <w:tcPr>
            <w:tcW w:w="2600" w:type="dxa"/>
            <w:vAlign w:val="center"/>
          </w:tcPr>
          <w:p>
            <w:pPr>
              <w:spacing w:before="40" w:after="40" w:line="240" w:lineRule="auto"/>
            </w:pPr>
            <w:r>
              <w:rPr>
                <w:sz w:val="17"/>
                <w:szCs w:val="17"/>
              </w:rPr>
              <w:t xml:space="preserve">2023-10-31 → 2023-12-29</w:t>
            </w:r>
          </w:p>
        </w:tc>
        <w:tc>
          <w:tcPr>
            <w:tcW w:w="1884" w:type="dxa"/>
            <w:vAlign w:val="center"/>
          </w:tcPr>
          <w:p>
            <w:pPr>
              <w:spacing w:before="40" w:after="40" w:line="240" w:lineRule="auto"/>
            </w:pPr>
            <w:r>
              <w:rPr>
                <w:sz w:val="17"/>
                <w:szCs w:val="17"/>
              </w:rPr>
              <w:t xml:space="preserve">«panel.test_rows»</w:t>
            </w:r>
          </w:p>
        </w:tc>
      </w:tr>
    </w:tbl>
    <w:p>
      <w:pPr>
        <w:spacing w:before="0" w:after="60" w:line="360" w:lineRule="auto"/>
      </w:pPr>
      <w:r>
        <w:t xml:space="preserve"/>
      </w:r>
    </w:p>
    <w:p>
      <w:pPr>
        <w:spacing w:before="0" w:after="120" w:line="360" w:lineRule="auto"/>
      </w:pPr>
      <w:r>
        <w:t xml:space="preserve">Three properties make the design defensible:</w:t>
      </w:r>
    </w:p>
    <w:p>
      <w:pPr>
        <w:pStyle w:val="ListBullet"/>
        <w:spacing w:before="0" w:after="60" w:line="360" w:lineRule="auto"/>
      </w:pPr>
      <w:r>
        <w:rPr>
          <w:b/>
        </w:rPr>
        <w:t xml:space="preserve">No truncated labels.</w:t>
      </w:r>
      <w:r>
        <w:t xml:space="preserve"> The test outcome window closes on 2023-12-29, exactly the last day of the ledger, so a customer labelled inactive really did have 60 full days of silence rather than a window cut short by the end of the data.</w:t>
      </w:r>
    </w:p>
    <w:p>
      <w:pPr>
        <w:pStyle w:val="ListBullet"/>
        <w:spacing w:before="0" w:after="60" w:line="360" w:lineRule="auto"/>
      </w:pPr>
      <w:r>
        <w:rPr>
          <w:b/>
        </w:rPr>
        <w:t xml:space="preserve">No short histories.</w:t>
      </w:r>
      <w:r>
        <w:t xml:space="preserve"> The earliest cutoff still has a complete 90-day feature window inside the ledger.</w:t>
      </w:r>
    </w:p>
    <w:p>
      <w:pPr>
        <w:pStyle w:val="ListBullet"/>
        <w:spacing w:before="0" w:after="60" w:line="360" w:lineRule="auto"/>
      </w:pPr>
      <w:r>
        <w:rPr>
          <w:b/>
        </w:rPr>
        <w:t xml:space="preserve">No outcome overlap between splits</w:t>
      </w:r>
      <w:r>
        <w:t xml:space="preserve">, so behaviour used to label a training row cannot reappear as test-period behaviour.</w:t>
      </w:r>
    </w:p>
    <w:p>
      <w:pPr>
        <w:spacing w:before="0" w:after="120" w:line="360" w:lineRule="auto"/>
      </w:pPr>
      <w:r>
        <w:t xml:space="preserve">Eligibility is part of the hypothesis, not a convenience: a row is admitted only if the customer transacted at least once in the 90 days before the cutoff. Predicting that an already-dormant customer stays dormant is trivially easy, and including those customers would inflate every metric in this report while adding nothing the business can act on.</w:t>
      </w:r>
    </w:p>
    <w:p>
      <w:pPr>
        <w:pStyle w:val="Heading2"/>
        <w:spacing w:before="200" w:after="120" w:line="360" w:lineRule="auto"/>
        <w:keepNext/>
      </w:pPr>
      <w:r>
        <w:t xml:space="preserve">2.4  Features and leakage control</w:t>
      </w:r>
    </w:p>
    <w:p>
      <w:pPr>
        <w:spacing w:before="0" w:after="120" w:line="360" w:lineRule="auto"/>
      </w:pPr>
      <w:r>
        <w:t xml:space="preserve">All behavioural features derive from a single filtered frame, so the time boundary is enforced in one place rather than re-checked per feature. Five families were built:</w:t>
      </w:r>
    </w:p>
    <w:tbl>
      <w:tblPr>
        <w:tblStyle w:val="TableGrid"/>
        <w:tblW w:w="0" w:type="auto"/>
        <w:jc w:val="center"/>
        <w:tblLook w:val="04A0" w:firstRow="1" w:lastRow="0" w:firstColumn="1" w:lastColumn="0" w:noHBand="0" w:noVBand="1"/>
      </w:tblPr>
      <w:tblGrid>
        <w:gridCol w:w="1800"/>
        <w:gridCol w:w="5400"/>
        <w:gridCol w:w="2784"/>
      </w:tblGrid>
      <w:tr>
        <w:trPr>
          <w:jc w:val="center"/>
          <w:tblHeader/>
        </w:trPr>
        <w:tc>
          <w:tcPr>
            <w:tcW w:w="1800" w:type="dxa"/>
            <w:shd w:val="clear" w:color="auto" w:fill="14375A"/>
            <w:vAlign w:val="center"/>
          </w:tcPr>
          <w:p>
            <w:pPr>
              <w:spacing w:before="40" w:after="40" w:line="240" w:lineRule="auto"/>
            </w:pPr>
            <w:r>
              <w:rPr>
                <w:sz w:val="18"/>
                <w:szCs w:val="18"/>
                <w:b/>
                <w:color w:val="FFFFFF"/>
              </w:rPr>
              <w:t xml:space="preserve">Family</w:t>
            </w:r>
          </w:p>
        </w:tc>
        <w:tc>
          <w:tcPr>
            <w:tcW w:w="5400" w:type="dxa"/>
            <w:shd w:val="clear" w:color="auto" w:fill="14375A"/>
            <w:vAlign w:val="center"/>
          </w:tcPr>
          <w:p>
            <w:pPr>
              <w:spacing w:before="40" w:after="40" w:line="240" w:lineRule="auto"/>
            </w:pPr>
            <w:r>
              <w:rPr>
                <w:sz w:val="18"/>
                <w:szCs w:val="18"/>
                <w:b/>
                <w:color w:val="FFFFFF"/>
              </w:rPr>
              <w:t xml:space="preserve">Examples</w:t>
            </w:r>
          </w:p>
        </w:tc>
        <w:tc>
          <w:tcPr>
            <w:tcW w:w="2784" w:type="dxa"/>
            <w:shd w:val="clear" w:color="auto" w:fill="14375A"/>
            <w:vAlign w:val="center"/>
          </w:tcPr>
          <w:p>
            <w:pPr>
              <w:spacing w:before="40" w:after="40" w:line="240" w:lineRule="auto"/>
            </w:pPr>
            <w:r>
              <w:rPr>
                <w:sz w:val="18"/>
                <w:szCs w:val="18"/>
                <w:b/>
                <w:color w:val="FFFFFF"/>
              </w:rPr>
              <w:t xml:space="preserve">Hypothesis clause</w:t>
            </w:r>
          </w:p>
        </w:tc>
      </w:tr>
      <w:tr>
        <w:trPr>
          <w:jc w:val="center"/>
        </w:trPr>
        <w:tc>
          <w:tcPr>
            <w:tcW w:w="1800" w:type="dxa"/>
            <w:vAlign w:val="center"/>
          </w:tcPr>
          <w:p>
            <w:pPr>
              <w:spacing w:before="40" w:after="40" w:line="240" w:lineRule="auto"/>
            </w:pPr>
            <w:r>
              <w:rPr>
                <w:sz w:val="18"/>
                <w:szCs w:val="18"/>
              </w:rPr>
              <w:t xml:space="preserve">Recency</w:t>
            </w:r>
          </w:p>
        </w:tc>
        <w:tc>
          <w:tcPr>
            <w:tcW w:w="5400" w:type="dxa"/>
            <w:vAlign w:val="center"/>
          </w:tcPr>
          <w:p>
            <w:pPr>
              <w:spacing w:before="40" w:after="40" w:line="240" w:lineRule="auto"/>
            </w:pPr>
            <w:r>
              <w:rPr>
                <w:sz w:val="18"/>
                <w:szCs w:val="18"/>
              </w:rPr>
              <w:t xml:space="preserve">days since last transaction, days since first transaction</w:t>
            </w:r>
          </w:p>
        </w:tc>
        <w:tc>
          <w:tcPr>
            <w:tcW w:w="2784" w:type="dxa"/>
            <w:vAlign w:val="center"/>
          </w:tcPr>
          <w:p>
            <w:pPr>
              <w:spacing w:before="40" w:after="40" w:line="240" w:lineRule="auto"/>
            </w:pPr>
            <w:r>
              <w:rPr>
                <w:sz w:val="18"/>
                <w:szCs w:val="18"/>
              </w:rPr>
              <w:t xml:space="preserve">'longer recency'</w:t>
            </w:r>
          </w:p>
        </w:tc>
      </w:tr>
      <w:tr>
        <w:trPr>
          <w:jc w:val="center"/>
        </w:trPr>
        <w:tc>
          <w:tcPr>
            <w:tcW w:w="1800" w:type="dxa"/>
            <w:vAlign w:val="center"/>
          </w:tcPr>
          <w:p>
            <w:pPr>
              <w:spacing w:before="40" w:after="40" w:line="240" w:lineRule="auto"/>
            </w:pPr>
            <w:r>
              <w:rPr>
                <w:sz w:val="18"/>
                <w:szCs w:val="18"/>
              </w:rPr>
              <w:t xml:space="preserve">Frequency / volume</w:t>
            </w:r>
          </w:p>
        </w:tc>
        <w:tc>
          <w:tcPr>
            <w:tcW w:w="5400" w:type="dxa"/>
            <w:vAlign w:val="center"/>
          </w:tcPr>
          <w:p>
            <w:pPr>
              <w:spacing w:before="40" w:after="40" w:line="240" w:lineRule="auto"/>
            </w:pPr>
            <w:r>
              <w:rPr>
                <w:sz w:val="18"/>
                <w:szCs w:val="18"/>
              </w:rPr>
              <w:t xml:space="preserve">counts, amounts and active days over 7 / 30 / 90 days</w:t>
            </w:r>
          </w:p>
        </w:tc>
        <w:tc>
          <w:tcPr>
            <w:tcW w:w="2784" w:type="dxa"/>
            <w:vAlign w:val="center"/>
          </w:tcPr>
          <w:p>
            <w:pPr>
              <w:spacing w:before="40" w:after="40" w:line="240" w:lineRule="auto"/>
            </w:pPr>
            <w:r>
              <w:rPr>
                <w:sz w:val="18"/>
                <w:szCs w:val="18"/>
              </w:rPr>
              <w:t xml:space="preserve">'declining frequency' (level)</w:t>
            </w:r>
          </w:p>
        </w:tc>
      </w:tr>
      <w:tr>
        <w:trPr>
          <w:jc w:val="center"/>
        </w:trPr>
        <w:tc>
          <w:tcPr>
            <w:tcW w:w="1800" w:type="dxa"/>
            <w:vAlign w:val="center"/>
          </w:tcPr>
          <w:p>
            <w:pPr>
              <w:spacing w:before="40" w:after="40" w:line="240" w:lineRule="auto"/>
            </w:pPr>
            <w:r>
              <w:rPr>
                <w:sz w:val="18"/>
                <w:szCs w:val="18"/>
              </w:rPr>
              <w:t xml:space="preserve">Trend</w:t>
            </w:r>
          </w:p>
        </w:tc>
        <w:tc>
          <w:tcPr>
            <w:tcW w:w="5400" w:type="dxa"/>
            <w:vAlign w:val="center"/>
          </w:tcPr>
          <w:p>
            <w:pPr>
              <w:spacing w:before="40" w:after="40" w:line="240" w:lineRule="auto"/>
            </w:pPr>
            <w:r>
              <w:rPr>
                <w:sz w:val="18"/>
                <w:szCs w:val="18"/>
              </w:rPr>
              <w:t xml:space="preserve">30-day count vs. the customer's own prior 60-day rate; count delta; amount ratio; share of 90-day activity in the last 30 days</w:t>
            </w:r>
          </w:p>
        </w:tc>
        <w:tc>
          <w:tcPr>
            <w:tcW w:w="2784" w:type="dxa"/>
            <w:vAlign w:val="center"/>
          </w:tcPr>
          <w:p>
            <w:pPr>
              <w:spacing w:before="40" w:after="40" w:line="240" w:lineRule="auto"/>
            </w:pPr>
            <w:r>
              <w:rPr>
                <w:sz w:val="18"/>
                <w:szCs w:val="18"/>
              </w:rPr>
              <w:t xml:space="preserve">'</w:t>
            </w:r>
            <w:r>
              <w:rPr>
                <w:sz w:val="18"/>
                <w:szCs w:val="18"/>
                <w:b/>
              </w:rPr>
              <w:t xml:space="preserve">declining</w:t>
            </w:r>
            <w:r>
              <w:rPr>
                <w:sz w:val="18"/>
                <w:szCs w:val="18"/>
              </w:rPr>
              <w:t xml:space="preserve">' — the change itself</w:t>
            </w:r>
          </w:p>
        </w:tc>
      </w:tr>
      <w:tr>
        <w:trPr>
          <w:jc w:val="center"/>
        </w:trPr>
        <w:tc>
          <w:tcPr>
            <w:tcW w:w="1800" w:type="dxa"/>
            <w:vAlign w:val="center"/>
          </w:tcPr>
          <w:p>
            <w:pPr>
              <w:spacing w:before="40" w:after="40" w:line="240" w:lineRule="auto"/>
            </w:pPr>
            <w:r>
              <w:rPr>
                <w:sz w:val="18"/>
                <w:szCs w:val="18"/>
              </w:rPr>
              <w:t xml:space="preserve">Rhythm</w:t>
            </w:r>
          </w:p>
        </w:tc>
        <w:tc>
          <w:tcPr>
            <w:tcW w:w="5400" w:type="dxa"/>
            <w:vAlign w:val="center"/>
          </w:tcPr>
          <w:p>
            <w:pPr>
              <w:spacing w:before="40" w:after="40" w:line="240" w:lineRule="auto"/>
            </w:pPr>
            <w:r>
              <w:rPr>
                <w:sz w:val="18"/>
                <w:szCs w:val="18"/>
              </w:rPr>
              <w:t xml:space="preserve">mean / max / standard deviation of inter-transaction gaps; current silence divided by the customer's own typical gap</w:t>
            </w:r>
          </w:p>
        </w:tc>
        <w:tc>
          <w:tcPr>
            <w:tcW w:w="2784" w:type="dxa"/>
            <w:vAlign w:val="center"/>
          </w:tcPr>
          <w:p>
            <w:pPr>
              <w:spacing w:before="40" w:after="40" w:line="240" w:lineRule="auto"/>
            </w:pPr>
            <w:r>
              <w:rPr>
                <w:sz w:val="18"/>
                <w:szCs w:val="18"/>
              </w:rPr>
              <w:t xml:space="preserve">a stretching gap as early evidence</w:t>
            </w:r>
          </w:p>
        </w:tc>
      </w:tr>
      <w:tr>
        <w:trPr>
          <w:jc w:val="center"/>
        </w:trPr>
        <w:tc>
          <w:tcPr>
            <w:tcW w:w="1800" w:type="dxa"/>
            <w:vAlign w:val="center"/>
          </w:tcPr>
          <w:p>
            <w:pPr>
              <w:spacing w:before="40" w:after="40" w:line="240" w:lineRule="auto"/>
            </w:pPr>
            <w:r>
              <w:rPr>
                <w:sz w:val="18"/>
                <w:szCs w:val="18"/>
              </w:rPr>
              <w:t xml:space="preserve">Diversity / mix</w:t>
            </w:r>
          </w:p>
        </w:tc>
        <w:tc>
          <w:tcPr>
            <w:tcW w:w="5400" w:type="dxa"/>
            <w:vAlign w:val="center"/>
          </w:tcPr>
          <w:p>
            <w:pPr>
              <w:spacing w:before="40" w:after="40" w:line="240" w:lineRule="auto"/>
            </w:pPr>
            <w:r>
              <w:rPr>
                <w:sz w:val="18"/>
                <w:szCs w:val="18"/>
              </w:rPr>
              <w:t xml:space="preserve">distinct transaction types, per-type shares, weekend ratio, amount concentration</w:t>
            </w:r>
          </w:p>
        </w:tc>
        <w:tc>
          <w:tcPr>
            <w:tcW w:w="2784" w:type="dxa"/>
            <w:vAlign w:val="center"/>
          </w:tcPr>
          <w:p>
            <w:pPr>
              <w:spacing w:before="40" w:after="40" w:line="240" w:lineRule="auto"/>
            </w:pPr>
            <w:r>
              <w:rPr>
                <w:sz w:val="18"/>
                <w:szCs w:val="18"/>
              </w:rPr>
              <w:t xml:space="preserve">'transaction value and diversity'</w:t>
            </w:r>
          </w:p>
        </w:tc>
      </w:tr>
    </w:tbl>
    <w:p>
      <w:pPr>
        <w:spacing w:before="0" w:after="60" w:line="360" w:lineRule="auto"/>
      </w:pPr>
      <w:r>
        <w:t xml:space="preserve"/>
      </w:r>
    </w:p>
    <w:p>
      <w:pPr>
        <w:spacing w:before="0" w:after="120" w:line="360" w:lineRule="auto"/>
      </w:pPr>
      <w:r>
        <w:t xml:space="preserve">One feature deserves singling out. `gap_vs_history` divides the current silence by the customer's own average gap: five quiet days mean nothing for a monthly user and a great deal for a daily one, so the ratio is comparable across customers in a way the raw gap is not.</w:t>
      </w:r>
    </w:p>
    <w:p>
      <w:pPr>
        <w:spacing w:before="0" w:after="120" w:line="360" w:lineRule="auto"/>
      </w:pPr>
      <w:r>
        <w:t xml:space="preserve">Every candidate predictor was catalogued with its time boundary in one of three tiers: </w:t>
      </w:r>
      <w:r>
        <w:rPr>
          <w:b/>
        </w:rPr>
        <w:t xml:space="preserve">pre-cutoff</w:t>
      </w:r>
      <w:r>
        <w:t xml:space="preserve"> (computed from transactions dated on or before the cutoff, verifiably safe), </w:t>
      </w:r>
      <w:r>
        <w:rPr>
          <w:b/>
        </w:rPr>
        <w:t xml:space="preserve">static</w:t>
      </w:r>
      <w:r>
        <w:t xml:space="preserve"> (attributes that change slowly), and </w:t>
      </w:r>
      <w:r>
        <w:rPr>
          <w:b/>
        </w:rPr>
        <w:t xml:space="preserve">snapshot</w:t>
      </w:r>
      <w:r>
        <w:t xml:space="preserve">. The snapshot tier is the honest problem in this dataset, and §6 treats it as such. A tripwire check also flags any single feature scoring above 0.95 univariate AUC, on the principle that one feature that strong is usually the label wearing a disguise.</w:t>
      </w:r>
    </w:p>
    <w:p>
      <w:pPr>
        <w:spacing w:after="0"/>
      </w:pPr>
      <w:r>
        <w:br w:type="page"/>
      </w:r>
    </w:p>
    <w:p>
      <w:pPr>
        <w:pStyle w:val="Heading1"/>
        <w:spacing w:before="200" w:after="120" w:line="360" w:lineRule="auto"/>
        <w:keepNext/>
      </w:pPr>
      <w:r>
        <w:t xml:space="preserve">3  Results and Interpretation</w:t>
      </w:r>
    </w:p>
    <w:p>
      <w:pPr>
        <w:pStyle w:val="Heading2"/>
        <w:spacing w:before="200" w:after="120" w:line="360" w:lineRule="auto"/>
        <w:keepNext/>
      </w:pPr>
      <w:r>
        <w:t xml:space="preserve">3.1  Models against baselines</w:t>
      </w:r>
    </w:p>
    <w:p>
      <w:pPr>
        <w:spacing w:before="0" w:after="120" w:line="360" w:lineRule="auto"/>
      </w:pPr>
      <w:r>
        <w:t xml:space="preserve">Two baselines were used, because 'better than random' is not an achievement on an imbalanced problem. The majority-class baseline is the floor. The second is the rule an analyst would write without any model: flag anyone silent for more than </w:t>
      </w:r>
      <w:r>
        <w:rPr>
          <w:i/>
        </w:rPr>
        <w:t xml:space="preserve">k</w:t>
      </w:r>
      <w:r>
        <w:t xml:space="preserve"> days, with </w:t>
      </w:r>
      <w:r>
        <w:rPr>
          <w:i/>
        </w:rPr>
        <w:t xml:space="preserve">k</w:t>
      </w:r>
      <w:r>
        <w:t xml:space="preserve"> chosen on the validation split («baseline_rule.threshold_days» days). Every model's operating threshold was likewise tuned on validation and then frozen before touching the test cutoff.</w:t>
      </w:r>
    </w:p>
    <w:tbl>
      <w:tblPr>
        <w:tblStyle w:val="TableGrid"/>
        <w:tblW w:w="0" w:type="auto"/>
        <w:jc w:val="center"/>
        <w:tblLook w:val="04A0" w:firstRow="1" w:lastRow="0" w:firstColumn="1" w:lastColumn="0" w:noHBand="0" w:noVBand="1"/>
      </w:tblPr>
      <w:tblGrid>
        <w:gridCol w:w="3000"/>
        <w:gridCol w:w="1400"/>
        <w:gridCol w:w="1400"/>
        <w:gridCol w:w="1200"/>
        <w:gridCol w:w="1400"/>
        <w:gridCol w:w="1584"/>
      </w:tblGrid>
      <w:tr>
        <w:trPr>
          <w:jc w:val="center"/>
          <w:tblHeader/>
        </w:trPr>
        <w:tc>
          <w:tcPr>
            <w:tcW w:w="3000" w:type="dxa"/>
            <w:shd w:val="clear" w:color="auto" w:fill="14375A"/>
            <w:vAlign w:val="center"/>
          </w:tcPr>
          <w:p>
            <w:pPr>
              <w:spacing w:before="40" w:after="40" w:line="240" w:lineRule="auto"/>
            </w:pPr>
            <w:r>
              <w:rPr>
                <w:sz w:val="17"/>
                <w:szCs w:val="17"/>
                <w:b/>
                <w:color w:val="FFFFFF"/>
              </w:rPr>
              <w:t xml:space="preserve">Model (test cutoff)</w:t>
            </w:r>
          </w:p>
        </w:tc>
        <w:tc>
          <w:tcPr>
            <w:tcW w:w="1400" w:type="dxa"/>
            <w:shd w:val="clear" w:color="auto" w:fill="14375A"/>
            <w:vAlign w:val="center"/>
          </w:tcPr>
          <w:p>
            <w:pPr>
              <w:spacing w:before="40" w:after="40" w:line="240" w:lineRule="auto"/>
            </w:pPr>
            <w:r>
              <w:rPr>
                <w:sz w:val="17"/>
                <w:szCs w:val="17"/>
                <w:b/>
                <w:color w:val="FFFFFF"/>
              </w:rPr>
              <w:t xml:space="preserve">Recall</w:t>
            </w:r>
          </w:p>
        </w:tc>
        <w:tc>
          <w:tcPr>
            <w:tcW w:w="1400" w:type="dxa"/>
            <w:shd w:val="clear" w:color="auto" w:fill="14375A"/>
            <w:vAlign w:val="center"/>
          </w:tcPr>
          <w:p>
            <w:pPr>
              <w:spacing w:before="40" w:after="40" w:line="240" w:lineRule="auto"/>
            </w:pPr>
            <w:r>
              <w:rPr>
                <w:sz w:val="17"/>
                <w:szCs w:val="17"/>
                <w:b/>
                <w:color w:val="FFFFFF"/>
              </w:rPr>
              <w:t xml:space="preserve">Precision</w:t>
            </w:r>
          </w:p>
        </w:tc>
        <w:tc>
          <w:tcPr>
            <w:tcW w:w="1200" w:type="dxa"/>
            <w:shd w:val="clear" w:color="auto" w:fill="14375A"/>
            <w:vAlign w:val="center"/>
          </w:tcPr>
          <w:p>
            <w:pPr>
              <w:spacing w:before="40" w:after="40" w:line="240" w:lineRule="auto"/>
            </w:pPr>
            <w:r>
              <w:rPr>
                <w:sz w:val="17"/>
                <w:szCs w:val="17"/>
                <w:b/>
                <w:color w:val="FFFFFF"/>
              </w:rPr>
              <w:t xml:space="preserve">F1</w:t>
            </w:r>
          </w:p>
        </w:tc>
        <w:tc>
          <w:tcPr>
            <w:tcW w:w="1400" w:type="dxa"/>
            <w:shd w:val="clear" w:color="auto" w:fill="14375A"/>
            <w:vAlign w:val="center"/>
          </w:tcPr>
          <w:p>
            <w:pPr>
              <w:spacing w:before="40" w:after="40" w:line="240" w:lineRule="auto"/>
            </w:pPr>
            <w:r>
              <w:rPr>
                <w:sz w:val="17"/>
                <w:szCs w:val="17"/>
                <w:b/>
                <w:color w:val="FFFFFF"/>
              </w:rPr>
              <w:t xml:space="preserve">PR-AUC</w:t>
            </w:r>
          </w:p>
        </w:tc>
        <w:tc>
          <w:tcPr>
            <w:tcW w:w="1584" w:type="dxa"/>
            <w:shd w:val="clear" w:color="auto" w:fill="14375A"/>
            <w:vAlign w:val="center"/>
          </w:tcPr>
          <w:p>
            <w:pPr>
              <w:spacing w:before="40" w:after="40" w:line="240" w:lineRule="auto"/>
            </w:pPr>
            <w:r>
              <w:rPr>
                <w:sz w:val="17"/>
                <w:szCs w:val="17"/>
                <w:b/>
                <w:color w:val="FFFFFF"/>
              </w:rPr>
              <w:t xml:space="preserve">Recall @ top 10%</w:t>
            </w:r>
          </w:p>
        </w:tc>
      </w:tr>
      <w:tr>
        <w:trPr>
          <w:jc w:val="center"/>
        </w:trPr>
        <w:tc>
          <w:tcPr>
            <w:tcW w:w="3000" w:type="dxa"/>
            <w:vAlign w:val="center"/>
          </w:tcPr>
          <w:p>
            <w:pPr>
              <w:spacing w:before="40" w:after="40" w:line="240" w:lineRule="auto"/>
            </w:pPr>
            <w:r>
              <w:rPr>
                <w:sz w:val="17"/>
                <w:szCs w:val="17"/>
              </w:rPr>
              <w:t xml:space="preserve">Baseline: recency ≥ «baseline_rule.threshold_days»d</w:t>
            </w:r>
          </w:p>
        </w:tc>
        <w:tc>
          <w:tcPr>
            <w:tcW w:w="1400" w:type="dxa"/>
            <w:vAlign w:val="center"/>
          </w:tcPr>
          <w:p>
            <w:pPr>
              <w:spacing w:before="40" w:after="40" w:line="240" w:lineRule="auto"/>
            </w:pPr>
            <w:r>
              <w:rPr>
                <w:sz w:val="17"/>
                <w:szCs w:val="17"/>
              </w:rPr>
              <w:t xml:space="preserve">«baseline_rule.recall»</w:t>
            </w:r>
          </w:p>
        </w:tc>
        <w:tc>
          <w:tcPr>
            <w:tcW w:w="1400" w:type="dxa"/>
            <w:vAlign w:val="center"/>
          </w:tcPr>
          <w:p>
            <w:pPr>
              <w:spacing w:before="40" w:after="40" w:line="240" w:lineRule="auto"/>
            </w:pPr>
            <w:r>
              <w:rPr>
                <w:sz w:val="17"/>
                <w:szCs w:val="17"/>
              </w:rPr>
              <w:t xml:space="preserve">«baseline_rule.precision»</w:t>
            </w:r>
          </w:p>
        </w:tc>
        <w:tc>
          <w:tcPr>
            <w:tcW w:w="1200" w:type="dxa"/>
            <w:vAlign w:val="center"/>
          </w:tcPr>
          <w:p>
            <w:pPr>
              <w:spacing w:before="40" w:after="40" w:line="240" w:lineRule="auto"/>
            </w:pPr>
            <w:r>
              <w:rPr>
                <w:sz w:val="17"/>
                <w:szCs w:val="17"/>
              </w:rPr>
              <w:t xml:space="preserve">«baseline_rule.f1»</w:t>
            </w:r>
          </w:p>
        </w:tc>
        <w:tc>
          <w:tcPr>
            <w:tcW w:w="1400" w:type="dxa"/>
            <w:vAlign w:val="center"/>
          </w:tcPr>
          <w:p>
            <w:pPr>
              <w:spacing w:before="40" w:after="40" w:line="240" w:lineRule="auto"/>
            </w:pPr>
            <w:r>
              <w:rPr>
                <w:sz w:val="17"/>
                <w:szCs w:val="17"/>
              </w:rPr>
              <w:t xml:space="preserve">«baseline_rule.pr_auc»</w:t>
            </w:r>
          </w:p>
        </w:tc>
        <w:tc>
          <w:tcPr>
            <w:tcW w:w="1584" w:type="dxa"/>
            <w:vAlign w:val="center"/>
          </w:tcPr>
          <w:p>
            <w:pPr>
              <w:spacing w:before="40" w:after="40" w:line="240" w:lineRule="auto"/>
            </w:pPr>
            <w:r>
              <w:rPr>
                <w:sz w:val="17"/>
                <w:szCs w:val="17"/>
              </w:rPr>
              <w:t xml:space="preserve">—</w:t>
            </w:r>
          </w:p>
        </w:tc>
      </w:tr>
      <w:tr>
        <w:trPr>
          <w:jc w:val="center"/>
        </w:trPr>
        <w:tc>
          <w:tcPr>
            <w:tcW w:w="3000" w:type="dxa"/>
            <w:vAlign w:val="center"/>
          </w:tcPr>
          <w:p>
            <w:pPr>
              <w:spacing w:before="40" w:after="40" w:line="240" w:lineRule="auto"/>
            </w:pPr>
            <w:r>
              <w:rPr>
                <w:sz w:val="17"/>
                <w:szCs w:val="17"/>
              </w:rPr>
              <w:t xml:space="preserve">Logistic Regression</w:t>
            </w:r>
          </w:p>
        </w:tc>
        <w:tc>
          <w:tcPr>
            <w:tcW w:w="1400" w:type="dxa"/>
            <w:vAlign w:val="center"/>
          </w:tcPr>
          <w:p>
            <w:pPr>
              <w:spacing w:before="40" w:after="40" w:line="240" w:lineRule="auto"/>
            </w:pPr>
            <w:r>
              <w:rPr>
                <w:sz w:val="17"/>
                <w:szCs w:val="17"/>
              </w:rPr>
              <w:t xml:space="preserve">«all_models_test.Logistic Regression.recall»</w:t>
            </w:r>
          </w:p>
        </w:tc>
        <w:tc>
          <w:tcPr>
            <w:tcW w:w="1400" w:type="dxa"/>
            <w:vAlign w:val="center"/>
          </w:tcPr>
          <w:p>
            <w:pPr>
              <w:spacing w:before="40" w:after="40" w:line="240" w:lineRule="auto"/>
            </w:pPr>
            <w:r>
              <w:rPr>
                <w:sz w:val="17"/>
                <w:szCs w:val="17"/>
              </w:rPr>
              <w:t xml:space="preserve">«all_models_test.Logistic Regression.precision»</w:t>
            </w:r>
          </w:p>
        </w:tc>
        <w:tc>
          <w:tcPr>
            <w:tcW w:w="1200" w:type="dxa"/>
            <w:vAlign w:val="center"/>
          </w:tcPr>
          <w:p>
            <w:pPr>
              <w:spacing w:before="40" w:after="40" w:line="240" w:lineRule="auto"/>
            </w:pPr>
            <w:r>
              <w:rPr>
                <w:sz w:val="17"/>
                <w:szCs w:val="17"/>
              </w:rPr>
              <w:t xml:space="preserve">«all_models_test.Logistic Regression.f1»</w:t>
            </w:r>
          </w:p>
        </w:tc>
        <w:tc>
          <w:tcPr>
            <w:tcW w:w="1400" w:type="dxa"/>
            <w:vAlign w:val="center"/>
          </w:tcPr>
          <w:p>
            <w:pPr>
              <w:spacing w:before="40" w:after="40" w:line="240" w:lineRule="auto"/>
            </w:pPr>
            <w:r>
              <w:rPr>
                <w:sz w:val="17"/>
                <w:szCs w:val="17"/>
              </w:rPr>
              <w:t xml:space="preserve">«all_models_test.Logistic Regression.pr_auc»</w:t>
            </w:r>
          </w:p>
        </w:tc>
        <w:tc>
          <w:tcPr>
            <w:tcW w:w="1584" w:type="dxa"/>
            <w:vAlign w:val="center"/>
          </w:tcPr>
          <w:p>
            <w:pPr>
              <w:spacing w:before="40" w:after="40" w:line="240" w:lineRule="auto"/>
            </w:pPr>
            <w:r>
              <w:rPr>
                <w:sz w:val="17"/>
                <w:szCs w:val="17"/>
              </w:rPr>
              <w:t xml:space="preserve">«all_models_test.Logistic Regression.recall_top10pct»</w:t>
            </w:r>
          </w:p>
        </w:tc>
      </w:tr>
      <w:tr>
        <w:trPr>
          <w:jc w:val="center"/>
        </w:trPr>
        <w:tc>
          <w:tcPr>
            <w:tcW w:w="3000" w:type="dxa"/>
            <w:vAlign w:val="center"/>
          </w:tcPr>
          <w:p>
            <w:pPr>
              <w:spacing w:before="40" w:after="40" w:line="240" w:lineRule="auto"/>
            </w:pPr>
            <w:r>
              <w:rPr>
                <w:sz w:val="17"/>
                <w:szCs w:val="17"/>
              </w:rPr>
              <w:t xml:space="preserve">Random Forest</w:t>
            </w:r>
          </w:p>
        </w:tc>
        <w:tc>
          <w:tcPr>
            <w:tcW w:w="1400" w:type="dxa"/>
            <w:vAlign w:val="center"/>
          </w:tcPr>
          <w:p>
            <w:pPr>
              <w:spacing w:before="40" w:after="40" w:line="240" w:lineRule="auto"/>
            </w:pPr>
            <w:r>
              <w:rPr>
                <w:sz w:val="17"/>
                <w:szCs w:val="17"/>
              </w:rPr>
              <w:t xml:space="preserve">«all_models_test.Random Forest.recall»</w:t>
            </w:r>
          </w:p>
        </w:tc>
        <w:tc>
          <w:tcPr>
            <w:tcW w:w="1400" w:type="dxa"/>
            <w:vAlign w:val="center"/>
          </w:tcPr>
          <w:p>
            <w:pPr>
              <w:spacing w:before="40" w:after="40" w:line="240" w:lineRule="auto"/>
            </w:pPr>
            <w:r>
              <w:rPr>
                <w:sz w:val="17"/>
                <w:szCs w:val="17"/>
              </w:rPr>
              <w:t xml:space="preserve">«all_models_test.Random Forest.precision»</w:t>
            </w:r>
          </w:p>
        </w:tc>
        <w:tc>
          <w:tcPr>
            <w:tcW w:w="1200" w:type="dxa"/>
            <w:vAlign w:val="center"/>
          </w:tcPr>
          <w:p>
            <w:pPr>
              <w:spacing w:before="40" w:after="40" w:line="240" w:lineRule="auto"/>
            </w:pPr>
            <w:r>
              <w:rPr>
                <w:sz w:val="17"/>
                <w:szCs w:val="17"/>
              </w:rPr>
              <w:t xml:space="preserve">«all_models_test.Random Forest.f1»</w:t>
            </w:r>
          </w:p>
        </w:tc>
        <w:tc>
          <w:tcPr>
            <w:tcW w:w="1400" w:type="dxa"/>
            <w:vAlign w:val="center"/>
          </w:tcPr>
          <w:p>
            <w:pPr>
              <w:spacing w:before="40" w:after="40" w:line="240" w:lineRule="auto"/>
            </w:pPr>
            <w:r>
              <w:rPr>
                <w:sz w:val="17"/>
                <w:szCs w:val="17"/>
              </w:rPr>
              <w:t xml:space="preserve">«all_models_test.Random Forest.pr_auc»</w:t>
            </w:r>
          </w:p>
        </w:tc>
        <w:tc>
          <w:tcPr>
            <w:tcW w:w="1584" w:type="dxa"/>
            <w:vAlign w:val="center"/>
          </w:tcPr>
          <w:p>
            <w:pPr>
              <w:spacing w:before="40" w:after="40" w:line="240" w:lineRule="auto"/>
            </w:pPr>
            <w:r>
              <w:rPr>
                <w:sz w:val="17"/>
                <w:szCs w:val="17"/>
              </w:rPr>
              <w:t xml:space="preserve">«all_models_test.Random Forest.recall_top10pct»</w:t>
            </w:r>
          </w:p>
        </w:tc>
      </w:tr>
      <w:tr>
        <w:trPr>
          <w:jc w:val="center"/>
        </w:trPr>
        <w:tc>
          <w:tcPr>
            <w:tcW w:w="3000" w:type="dxa"/>
            <w:vAlign w:val="center"/>
          </w:tcPr>
          <w:p>
            <w:pPr>
              <w:spacing w:before="40" w:after="40" w:line="240" w:lineRule="auto"/>
            </w:pPr>
            <w:r>
              <w:rPr>
                <w:sz w:val="17"/>
                <w:szCs w:val="17"/>
              </w:rPr>
              <w:t xml:space="preserve">HistGradientBoosting</w:t>
            </w:r>
          </w:p>
        </w:tc>
        <w:tc>
          <w:tcPr>
            <w:tcW w:w="1400" w:type="dxa"/>
            <w:vAlign w:val="center"/>
          </w:tcPr>
          <w:p>
            <w:pPr>
              <w:spacing w:before="40" w:after="40" w:line="240" w:lineRule="auto"/>
            </w:pPr>
            <w:r>
              <w:rPr>
                <w:sz w:val="17"/>
                <w:szCs w:val="17"/>
              </w:rPr>
              <w:t xml:space="preserve">«all_models_test.HistGradientBoosting.recall»</w:t>
            </w:r>
          </w:p>
        </w:tc>
        <w:tc>
          <w:tcPr>
            <w:tcW w:w="1400" w:type="dxa"/>
            <w:vAlign w:val="center"/>
          </w:tcPr>
          <w:p>
            <w:pPr>
              <w:spacing w:before="40" w:after="40" w:line="240" w:lineRule="auto"/>
            </w:pPr>
            <w:r>
              <w:rPr>
                <w:sz w:val="17"/>
                <w:szCs w:val="17"/>
              </w:rPr>
              <w:t xml:space="preserve">«all_models_test.HistGradientBoosting.precision»</w:t>
            </w:r>
          </w:p>
        </w:tc>
        <w:tc>
          <w:tcPr>
            <w:tcW w:w="1200" w:type="dxa"/>
            <w:vAlign w:val="center"/>
          </w:tcPr>
          <w:p>
            <w:pPr>
              <w:spacing w:before="40" w:after="40" w:line="240" w:lineRule="auto"/>
            </w:pPr>
            <w:r>
              <w:rPr>
                <w:sz w:val="17"/>
                <w:szCs w:val="17"/>
              </w:rPr>
              <w:t xml:space="preserve">«all_models_test.HistGradientBoosting.f1»</w:t>
            </w:r>
          </w:p>
        </w:tc>
        <w:tc>
          <w:tcPr>
            <w:tcW w:w="1400" w:type="dxa"/>
            <w:vAlign w:val="center"/>
          </w:tcPr>
          <w:p>
            <w:pPr>
              <w:spacing w:before="40" w:after="40" w:line="240" w:lineRule="auto"/>
            </w:pPr>
            <w:r>
              <w:rPr>
                <w:sz w:val="17"/>
                <w:szCs w:val="17"/>
              </w:rPr>
              <w:t xml:space="preserve">«all_models_test.HistGradientBoosting.pr_auc»</w:t>
            </w:r>
          </w:p>
        </w:tc>
        <w:tc>
          <w:tcPr>
            <w:tcW w:w="1584" w:type="dxa"/>
            <w:vAlign w:val="center"/>
          </w:tcPr>
          <w:p>
            <w:pPr>
              <w:spacing w:before="40" w:after="40" w:line="240" w:lineRule="auto"/>
            </w:pPr>
            <w:r>
              <w:rPr>
                <w:sz w:val="17"/>
                <w:szCs w:val="17"/>
              </w:rPr>
              <w:t xml:space="preserve">«all_models_test.HistGradientBoosting.recall_top10pct»</w:t>
            </w:r>
          </w:p>
        </w:tc>
      </w:tr>
      <w:tr>
        <w:trPr>
          <w:jc w:val="center"/>
        </w:trPr>
        <w:tc>
          <w:tcPr>
            <w:tcW w:w="3000" w:type="dxa"/>
            <w:vAlign w:val="center"/>
          </w:tcPr>
          <w:p>
            <w:pPr>
              <w:spacing w:before="40" w:after="40" w:line="240" w:lineRule="auto"/>
            </w:pPr>
            <w:r>
              <w:rPr>
                <w:sz w:val="17"/>
                <w:szCs w:val="17"/>
                <w:b/>
              </w:rPr>
              <w:t xml:space="preserve">«best_model.name» (selected)</w:t>
            </w:r>
          </w:p>
        </w:tc>
        <w:tc>
          <w:tcPr>
            <w:tcW w:w="1400" w:type="dxa"/>
            <w:vAlign w:val="center"/>
          </w:tcPr>
          <w:p>
            <w:pPr>
              <w:spacing w:before="40" w:after="40" w:line="240" w:lineRule="auto"/>
            </w:pPr>
            <w:r>
              <w:rPr>
                <w:sz w:val="17"/>
                <w:szCs w:val="17"/>
                <w:b/>
              </w:rPr>
              <w:t xml:space="preserve">«best_model.recall»</w:t>
            </w:r>
          </w:p>
        </w:tc>
        <w:tc>
          <w:tcPr>
            <w:tcW w:w="1400" w:type="dxa"/>
            <w:vAlign w:val="center"/>
          </w:tcPr>
          <w:p>
            <w:pPr>
              <w:spacing w:before="40" w:after="40" w:line="240" w:lineRule="auto"/>
            </w:pPr>
            <w:r>
              <w:rPr>
                <w:sz w:val="17"/>
                <w:szCs w:val="17"/>
                <w:b/>
              </w:rPr>
              <w:t xml:space="preserve">«best_model.precision»</w:t>
            </w:r>
          </w:p>
        </w:tc>
        <w:tc>
          <w:tcPr>
            <w:tcW w:w="1200" w:type="dxa"/>
            <w:vAlign w:val="center"/>
          </w:tcPr>
          <w:p>
            <w:pPr>
              <w:spacing w:before="40" w:after="40" w:line="240" w:lineRule="auto"/>
            </w:pPr>
            <w:r>
              <w:rPr>
                <w:sz w:val="17"/>
                <w:szCs w:val="17"/>
                <w:b/>
              </w:rPr>
              <w:t xml:space="preserve">«best_model.f1»</w:t>
            </w:r>
          </w:p>
        </w:tc>
        <w:tc>
          <w:tcPr>
            <w:tcW w:w="1400" w:type="dxa"/>
            <w:vAlign w:val="center"/>
          </w:tcPr>
          <w:p>
            <w:pPr>
              <w:spacing w:before="40" w:after="40" w:line="240" w:lineRule="auto"/>
            </w:pPr>
            <w:r>
              <w:rPr>
                <w:sz w:val="17"/>
                <w:szCs w:val="17"/>
                <w:b/>
              </w:rPr>
              <w:t xml:space="preserve">«best_model.pr_auc»</w:t>
            </w:r>
          </w:p>
        </w:tc>
        <w:tc>
          <w:tcPr>
            <w:tcW w:w="1584" w:type="dxa"/>
            <w:vAlign w:val="center"/>
          </w:tcPr>
          <w:p>
            <w:pPr>
              <w:spacing w:before="40" w:after="40" w:line="240" w:lineRule="auto"/>
            </w:pPr>
            <w:r>
              <w:rPr>
                <w:sz w:val="17"/>
                <w:szCs w:val="17"/>
                <w:b/>
              </w:rPr>
              <w:t xml:space="preserve">«best_model.recall_top10pct»</w:t>
            </w:r>
          </w:p>
        </w:tc>
      </w:tr>
    </w:tbl>
    <w:p>
      <w:pPr>
        <w:spacing w:before="0" w:after="60" w:line="360" w:lineRule="auto"/>
      </w:pPr>
      <w:r>
        <w:t xml:space="preserve"/>
      </w:r>
    </w:p>
    <w:p>
      <w:pPr>
        <w:spacing w:before="0" w:after="120" w:line="360" w:lineRule="auto"/>
      </w:pPr>
      <w:r>
        <w:t xml:space="preserve">The selected model is calibrated well enough for the dashboard to display its score as a probability rather than a rank (Brier score «best_model.brier»), which matters because an operator reading '0.7' will act as though seven in ten such customers go quiet.</w:t>
      </w:r>
    </w:p>
    <w:p>
      <w:pPr>
        <w:pStyle w:val="Heading2"/>
        <w:spacing w:before="200" w:after="120" w:line="360" w:lineRule="auto"/>
        <w:keepNext/>
      </w:pPr>
      <w:r>
        <w:t xml:space="preserve">3.2  What the model buys at a realistic capacity</w:t>
      </w:r>
    </w:p>
    <w:p>
      <w:pPr>
        <w:spacing w:before="0" w:after="120" w:line="360" w:lineRule="auto"/>
      </w:pPr>
      <w:r>
        <w:t xml:space="preserve">A retention team has finite contacts, so the operational question is not the F1 score at an abstract threshold but the recall obtained for a fixed number of calls:</w:t>
      </w:r>
    </w:p>
    <w:tbl>
      <w:tblPr>
        <w:tblStyle w:val="TableGrid"/>
        <w:tblW w:w="0" w:type="auto"/>
        <w:jc w:val="center"/>
        <w:tblLook w:val="04A0" w:firstRow="1" w:lastRow="0" w:firstColumn="1" w:lastColumn="0" w:noHBand="0" w:noVBand="1"/>
      </w:tblPr>
      <w:tblGrid>
        <w:gridCol w:w="2200"/>
        <w:gridCol w:w="2400"/>
        <w:gridCol w:w="1800"/>
        <w:gridCol w:w="1800"/>
        <w:gridCol w:w="1784"/>
      </w:tblGrid>
      <w:tr>
        <w:trPr>
          <w:jc w:val="center"/>
          <w:tblHeader/>
        </w:trPr>
        <w:tc>
          <w:tcPr>
            <w:tcW w:w="2200" w:type="dxa"/>
            <w:shd w:val="clear" w:color="auto" w:fill="14375A"/>
            <w:vAlign w:val="center"/>
          </w:tcPr>
          <w:p>
            <w:pPr>
              <w:spacing w:before="40" w:after="40" w:line="240" w:lineRule="auto"/>
            </w:pPr>
            <w:r>
              <w:rPr>
                <w:sz w:val="18"/>
                <w:szCs w:val="18"/>
                <w:b/>
                <w:color w:val="FFFFFF"/>
              </w:rPr>
              <w:t xml:space="preserve">Outreach capacity</w:t>
            </w:r>
          </w:p>
        </w:tc>
        <w:tc>
          <w:tcPr>
            <w:tcW w:w="2400" w:type="dxa"/>
            <w:shd w:val="clear" w:color="auto" w:fill="14375A"/>
            <w:vAlign w:val="center"/>
          </w:tcPr>
          <w:p>
            <w:pPr>
              <w:spacing w:before="40" w:after="40" w:line="240" w:lineRule="auto"/>
            </w:pPr>
            <w:r>
              <w:rPr>
                <w:sz w:val="18"/>
                <w:szCs w:val="18"/>
                <w:b/>
                <w:color w:val="FFFFFF"/>
              </w:rPr>
              <w:t xml:space="preserve">Customers contacted</w:t>
            </w:r>
          </w:p>
        </w:tc>
        <w:tc>
          <w:tcPr>
            <w:tcW w:w="1800" w:type="dxa"/>
            <w:shd w:val="clear" w:color="auto" w:fill="14375A"/>
            <w:vAlign w:val="center"/>
          </w:tcPr>
          <w:p>
            <w:pPr>
              <w:spacing w:before="40" w:after="40" w:line="240" w:lineRule="auto"/>
            </w:pPr>
            <w:r>
              <w:rPr>
                <w:sz w:val="18"/>
                <w:szCs w:val="18"/>
                <w:b/>
                <w:color w:val="FFFFFF"/>
              </w:rPr>
              <w:t xml:space="preserve">Recall</w:t>
            </w:r>
          </w:p>
        </w:tc>
        <w:tc>
          <w:tcPr>
            <w:tcW w:w="1800" w:type="dxa"/>
            <w:shd w:val="clear" w:color="auto" w:fill="14375A"/>
            <w:vAlign w:val="center"/>
          </w:tcPr>
          <w:p>
            <w:pPr>
              <w:spacing w:before="40" w:after="40" w:line="240" w:lineRule="auto"/>
            </w:pPr>
            <w:r>
              <w:rPr>
                <w:sz w:val="18"/>
                <w:szCs w:val="18"/>
                <w:b/>
                <w:color w:val="FFFFFF"/>
              </w:rPr>
              <w:t xml:space="preserve">Precision</w:t>
            </w:r>
          </w:p>
        </w:tc>
        <w:tc>
          <w:tcPr>
            <w:tcW w:w="1784" w:type="dxa"/>
            <w:shd w:val="clear" w:color="auto" w:fill="14375A"/>
            <w:vAlign w:val="center"/>
          </w:tcPr>
          <w:p>
            <w:pPr>
              <w:spacing w:before="40" w:after="40" w:line="240" w:lineRule="auto"/>
            </w:pPr>
            <w:r>
              <w:rPr>
                <w:sz w:val="18"/>
                <w:szCs w:val="18"/>
                <w:b/>
                <w:color w:val="FFFFFF"/>
              </w:rPr>
              <w:t xml:space="preserve">Lift vs. random</w:t>
            </w:r>
          </w:p>
        </w:tc>
      </w:tr>
      <w:tr>
        <w:trPr>
          <w:jc w:val="center"/>
        </w:trPr>
        <w:tc>
          <w:tcPr>
            <w:tcW w:w="2200" w:type="dxa"/>
            <w:vAlign w:val="center"/>
          </w:tcPr>
          <w:p>
            <w:pPr>
              <w:spacing w:before="40" w:after="40" w:line="240" w:lineRule="auto"/>
            </w:pPr>
            <w:r>
              <w:rPr>
                <w:sz w:val="18"/>
                <w:szCs w:val="18"/>
              </w:rPr>
              <w:t xml:space="preserve">10%</w:t>
            </w:r>
          </w:p>
        </w:tc>
        <w:tc>
          <w:tcPr>
            <w:tcW w:w="2400" w:type="dxa"/>
            <w:vAlign w:val="center"/>
          </w:tcPr>
          <w:p>
            <w:pPr>
              <w:spacing w:before="40" w:after="40" w:line="240" w:lineRule="auto"/>
            </w:pPr>
            <w:r>
              <w:rPr>
                <w:sz w:val="18"/>
                <w:szCs w:val="18"/>
              </w:rPr>
              <w:t xml:space="preserve">«capacity.0.customers_contacted»</w:t>
            </w:r>
          </w:p>
        </w:tc>
        <w:tc>
          <w:tcPr>
            <w:tcW w:w="1800" w:type="dxa"/>
            <w:vAlign w:val="center"/>
          </w:tcPr>
          <w:p>
            <w:pPr>
              <w:spacing w:before="40" w:after="40" w:line="240" w:lineRule="auto"/>
            </w:pPr>
            <w:r>
              <w:rPr>
                <w:sz w:val="18"/>
                <w:szCs w:val="18"/>
              </w:rPr>
              <w:t xml:space="preserve">«capacity.0.recall»</w:t>
            </w:r>
          </w:p>
        </w:tc>
        <w:tc>
          <w:tcPr>
            <w:tcW w:w="1800" w:type="dxa"/>
            <w:vAlign w:val="center"/>
          </w:tcPr>
          <w:p>
            <w:pPr>
              <w:spacing w:before="40" w:after="40" w:line="240" w:lineRule="auto"/>
            </w:pPr>
            <w:r>
              <w:rPr>
                <w:sz w:val="18"/>
                <w:szCs w:val="18"/>
              </w:rPr>
              <w:t xml:space="preserve">«capacity.0.precision»</w:t>
            </w:r>
          </w:p>
        </w:tc>
        <w:tc>
          <w:tcPr>
            <w:tcW w:w="1784" w:type="dxa"/>
            <w:vAlign w:val="center"/>
          </w:tcPr>
          <w:p>
            <w:pPr>
              <w:spacing w:before="40" w:after="40" w:line="240" w:lineRule="auto"/>
            </w:pPr>
            <w:r>
              <w:rPr>
                <w:sz w:val="18"/>
                <w:szCs w:val="18"/>
              </w:rPr>
              <w:t xml:space="preserve">«capacity.0.lift_vs_random»×</w:t>
            </w:r>
          </w:p>
        </w:tc>
      </w:tr>
      <w:tr>
        <w:trPr>
          <w:jc w:val="center"/>
        </w:trPr>
        <w:tc>
          <w:tcPr>
            <w:tcW w:w="2200" w:type="dxa"/>
            <w:vAlign w:val="center"/>
          </w:tcPr>
          <w:p>
            <w:pPr>
              <w:spacing w:before="40" w:after="40" w:line="240" w:lineRule="auto"/>
            </w:pPr>
            <w:r>
              <w:rPr>
                <w:sz w:val="18"/>
                <w:szCs w:val="18"/>
              </w:rPr>
              <w:t xml:space="preserve">20%</w:t>
            </w:r>
          </w:p>
        </w:tc>
        <w:tc>
          <w:tcPr>
            <w:tcW w:w="2400" w:type="dxa"/>
            <w:vAlign w:val="center"/>
          </w:tcPr>
          <w:p>
            <w:pPr>
              <w:spacing w:before="40" w:after="40" w:line="240" w:lineRule="auto"/>
            </w:pPr>
            <w:r>
              <w:rPr>
                <w:sz w:val="18"/>
                <w:szCs w:val="18"/>
              </w:rPr>
              <w:t xml:space="preserve">«capacity.1.customers_contacted»</w:t>
            </w:r>
          </w:p>
        </w:tc>
        <w:tc>
          <w:tcPr>
            <w:tcW w:w="1800" w:type="dxa"/>
            <w:vAlign w:val="center"/>
          </w:tcPr>
          <w:p>
            <w:pPr>
              <w:spacing w:before="40" w:after="40" w:line="240" w:lineRule="auto"/>
            </w:pPr>
            <w:r>
              <w:rPr>
                <w:sz w:val="18"/>
                <w:szCs w:val="18"/>
              </w:rPr>
              <w:t xml:space="preserve">«capacity.1.recall»</w:t>
            </w:r>
          </w:p>
        </w:tc>
        <w:tc>
          <w:tcPr>
            <w:tcW w:w="1800" w:type="dxa"/>
            <w:vAlign w:val="center"/>
          </w:tcPr>
          <w:p>
            <w:pPr>
              <w:spacing w:before="40" w:after="40" w:line="240" w:lineRule="auto"/>
            </w:pPr>
            <w:r>
              <w:rPr>
                <w:sz w:val="18"/>
                <w:szCs w:val="18"/>
              </w:rPr>
              <w:t xml:space="preserve">«capacity.1.precision»</w:t>
            </w:r>
          </w:p>
        </w:tc>
        <w:tc>
          <w:tcPr>
            <w:tcW w:w="1784" w:type="dxa"/>
            <w:vAlign w:val="center"/>
          </w:tcPr>
          <w:p>
            <w:pPr>
              <w:spacing w:before="40" w:after="40" w:line="240" w:lineRule="auto"/>
            </w:pPr>
            <w:r>
              <w:rPr>
                <w:sz w:val="18"/>
                <w:szCs w:val="18"/>
              </w:rPr>
              <w:t xml:space="preserve">«capacity.1.lift_vs_random»×</w:t>
            </w:r>
          </w:p>
        </w:tc>
      </w:tr>
      <w:tr>
        <w:trPr>
          <w:jc w:val="center"/>
        </w:trPr>
        <w:tc>
          <w:tcPr>
            <w:tcW w:w="2200" w:type="dxa"/>
            <w:vAlign w:val="center"/>
          </w:tcPr>
          <w:p>
            <w:pPr>
              <w:spacing w:before="40" w:after="40" w:line="240" w:lineRule="auto"/>
            </w:pPr>
            <w:r>
              <w:rPr>
                <w:sz w:val="18"/>
                <w:szCs w:val="18"/>
              </w:rPr>
              <w:t xml:space="preserve">30%</w:t>
            </w:r>
          </w:p>
        </w:tc>
        <w:tc>
          <w:tcPr>
            <w:tcW w:w="2400" w:type="dxa"/>
            <w:vAlign w:val="center"/>
          </w:tcPr>
          <w:p>
            <w:pPr>
              <w:spacing w:before="40" w:after="40" w:line="240" w:lineRule="auto"/>
            </w:pPr>
            <w:r>
              <w:rPr>
                <w:sz w:val="18"/>
                <w:szCs w:val="18"/>
              </w:rPr>
              <w:t xml:space="preserve">«capacity.2.customers_contacted»</w:t>
            </w:r>
          </w:p>
        </w:tc>
        <w:tc>
          <w:tcPr>
            <w:tcW w:w="1800" w:type="dxa"/>
            <w:vAlign w:val="center"/>
          </w:tcPr>
          <w:p>
            <w:pPr>
              <w:spacing w:before="40" w:after="40" w:line="240" w:lineRule="auto"/>
            </w:pPr>
            <w:r>
              <w:rPr>
                <w:sz w:val="18"/>
                <w:szCs w:val="18"/>
              </w:rPr>
              <w:t xml:space="preserve">«capacity.2.recall»</w:t>
            </w:r>
          </w:p>
        </w:tc>
        <w:tc>
          <w:tcPr>
            <w:tcW w:w="1800" w:type="dxa"/>
            <w:vAlign w:val="center"/>
          </w:tcPr>
          <w:p>
            <w:pPr>
              <w:spacing w:before="40" w:after="40" w:line="240" w:lineRule="auto"/>
            </w:pPr>
            <w:r>
              <w:rPr>
                <w:sz w:val="18"/>
                <w:szCs w:val="18"/>
              </w:rPr>
              <w:t xml:space="preserve">«capacity.2.precision»</w:t>
            </w:r>
          </w:p>
        </w:tc>
        <w:tc>
          <w:tcPr>
            <w:tcW w:w="1784" w:type="dxa"/>
            <w:vAlign w:val="center"/>
          </w:tcPr>
          <w:p>
            <w:pPr>
              <w:spacing w:before="40" w:after="40" w:line="240" w:lineRule="auto"/>
            </w:pPr>
            <w:r>
              <w:rPr>
                <w:sz w:val="18"/>
                <w:szCs w:val="18"/>
              </w:rPr>
              <w:t xml:space="preserve">«capacity.2.lift_vs_random»×</w:t>
            </w:r>
          </w:p>
        </w:tc>
      </w:tr>
    </w:tbl>
    <w:p>
      <w:pPr>
        <w:spacing w:before="0" w:after="60" w:line="360" w:lineRule="auto"/>
      </w:pPr>
      <w:r>
        <w:t xml:space="preserve"/>
      </w:r>
    </w:p>
    <w:p>
      <w:pPr>
        <w:pStyle w:val="Heading2"/>
        <w:spacing w:before="200" w:after="120" w:line="360" w:lineRule="auto"/>
        <w:keepNext/>
      </w:pPr>
      <w:r>
        <w:t xml:space="preserve">3.3  The hypothesis, tested directly</w:t>
      </w:r>
    </w:p>
    <w:p>
      <w:pPr>
        <w:spacing w:before="0" w:after="120" w:line="360" w:lineRule="auto"/>
      </w:pPr>
      <w:r>
        <w:t xml:space="preserve">The proposal's hypothesis bundles several claims, so it was decomposed: the same estimator was trained on restricted feature families and compared on the same held-out cutoff. This is the central result of the workstream.</w:t>
      </w:r>
    </w:p>
    <w:tbl>
      <w:tblPr>
        <w:tblStyle w:val="TableGrid"/>
        <w:tblW w:w="0" w:type="auto"/>
        <w:jc w:val="center"/>
        <w:tblLook w:val="04A0" w:firstRow="1" w:lastRow="0" w:firstColumn="1" w:lastColumn="0" w:noHBand="0" w:noVBand="1"/>
      </w:tblPr>
      <w:tblGrid>
        <w:gridCol w:w="4000"/>
        <w:gridCol w:w="1300"/>
        <w:gridCol w:w="1500"/>
        <w:gridCol w:w="1500"/>
        <w:gridCol w:w="1684"/>
      </w:tblGrid>
      <w:tr>
        <w:trPr>
          <w:jc w:val="center"/>
          <w:tblHeader/>
        </w:trPr>
        <w:tc>
          <w:tcPr>
            <w:tcW w:w="4000" w:type="dxa"/>
            <w:shd w:val="clear" w:color="auto" w:fill="14375A"/>
            <w:vAlign w:val="center"/>
          </w:tcPr>
          <w:p>
            <w:pPr>
              <w:spacing w:before="40" w:after="40" w:line="240" w:lineRule="auto"/>
            </w:pPr>
            <w:r>
              <w:rPr>
                <w:sz w:val="17"/>
                <w:szCs w:val="17"/>
                <w:b/>
                <w:color w:val="FFFFFF"/>
              </w:rPr>
              <w:t xml:space="preserve">Feature family</w:t>
            </w:r>
          </w:p>
        </w:tc>
        <w:tc>
          <w:tcPr>
            <w:tcW w:w="1300" w:type="dxa"/>
            <w:shd w:val="clear" w:color="auto" w:fill="14375A"/>
            <w:vAlign w:val="center"/>
          </w:tcPr>
          <w:p>
            <w:pPr>
              <w:spacing w:before="40" w:after="40" w:line="240" w:lineRule="auto"/>
            </w:pPr>
            <w:r>
              <w:rPr>
                <w:sz w:val="17"/>
                <w:szCs w:val="17"/>
                <w:b/>
                <w:color w:val="FFFFFF"/>
              </w:rPr>
              <w:t xml:space="preserve">Features</w:t>
            </w:r>
          </w:p>
        </w:tc>
        <w:tc>
          <w:tcPr>
            <w:tcW w:w="1500" w:type="dxa"/>
            <w:shd w:val="clear" w:color="auto" w:fill="14375A"/>
            <w:vAlign w:val="center"/>
          </w:tcPr>
          <w:p>
            <w:pPr>
              <w:spacing w:before="40" w:after="40" w:line="240" w:lineRule="auto"/>
            </w:pPr>
            <w:r>
              <w:rPr>
                <w:sz w:val="17"/>
                <w:szCs w:val="17"/>
                <w:b/>
                <w:color w:val="FFFFFF"/>
              </w:rPr>
              <w:t xml:space="preserve">PR-AUC</w:t>
            </w:r>
          </w:p>
        </w:tc>
        <w:tc>
          <w:tcPr>
            <w:tcW w:w="1500" w:type="dxa"/>
            <w:shd w:val="clear" w:color="auto" w:fill="14375A"/>
            <w:vAlign w:val="center"/>
          </w:tcPr>
          <w:p>
            <w:pPr>
              <w:spacing w:before="40" w:after="40" w:line="240" w:lineRule="auto"/>
            </w:pPr>
            <w:r>
              <w:rPr>
                <w:sz w:val="17"/>
                <w:szCs w:val="17"/>
                <w:b/>
                <w:color w:val="FFFFFF"/>
              </w:rPr>
              <w:t xml:space="preserve">Recall</w:t>
            </w:r>
          </w:p>
        </w:tc>
        <w:tc>
          <w:tcPr>
            <w:tcW w:w="1684" w:type="dxa"/>
            <w:shd w:val="clear" w:color="auto" w:fill="14375A"/>
            <w:vAlign w:val="center"/>
          </w:tcPr>
          <w:p>
            <w:pPr>
              <w:spacing w:before="40" w:after="40" w:line="240" w:lineRule="auto"/>
            </w:pPr>
            <w:r>
              <w:rPr>
                <w:sz w:val="17"/>
                <w:szCs w:val="17"/>
                <w:b/>
                <w:color w:val="FFFFFF"/>
              </w:rPr>
              <w:t xml:space="preserve">Recall @ top 10%</w:t>
            </w:r>
          </w:p>
        </w:tc>
      </w:tr>
      <w:tr>
        <w:trPr>
          <w:jc w:val="center"/>
        </w:trPr>
        <w:tc>
          <w:tcPr>
            <w:tcW w:w="4000" w:type="dxa"/>
            <w:vAlign w:val="center"/>
          </w:tcPr>
          <w:p>
            <w:pPr>
              <w:spacing w:before="40" w:after="40" w:line="240" w:lineRule="auto"/>
            </w:pPr>
            <w:r>
              <w:rPr>
                <w:sz w:val="17"/>
                <w:szCs w:val="17"/>
              </w:rPr>
              <w:t xml:space="preserve">Static profile only (demographics, products, engagement, experience)</w:t>
            </w:r>
          </w:p>
        </w:tc>
        <w:tc>
          <w:tcPr>
            <w:tcW w:w="1300" w:type="dxa"/>
            <w:vAlign w:val="center"/>
          </w:tcPr>
          <w:p>
            <w:pPr>
              <w:spacing w:before="40" w:after="40" w:line="240" w:lineRule="auto"/>
            </w:pPr>
            <w:r>
              <w:rPr>
                <w:sz w:val="17"/>
                <w:szCs w:val="17"/>
              </w:rPr>
              <w:t xml:space="preserve">«ablation.static profile only.n_features»</w:t>
            </w:r>
          </w:p>
        </w:tc>
        <w:tc>
          <w:tcPr>
            <w:tcW w:w="1500" w:type="dxa"/>
            <w:vAlign w:val="center"/>
          </w:tcPr>
          <w:p>
            <w:pPr>
              <w:spacing w:before="40" w:after="40" w:line="240" w:lineRule="auto"/>
            </w:pPr>
            <w:r>
              <w:rPr>
                <w:sz w:val="17"/>
                <w:szCs w:val="17"/>
              </w:rPr>
              <w:t xml:space="preserve">«ablation.static profile only.pr_auc»</w:t>
            </w:r>
          </w:p>
        </w:tc>
        <w:tc>
          <w:tcPr>
            <w:tcW w:w="1500" w:type="dxa"/>
            <w:vAlign w:val="center"/>
          </w:tcPr>
          <w:p>
            <w:pPr>
              <w:spacing w:before="40" w:after="40" w:line="240" w:lineRule="auto"/>
            </w:pPr>
            <w:r>
              <w:rPr>
                <w:sz w:val="17"/>
                <w:szCs w:val="17"/>
              </w:rPr>
              <w:t xml:space="preserve">«ablation.static profile only.recall»</w:t>
            </w:r>
          </w:p>
        </w:tc>
        <w:tc>
          <w:tcPr>
            <w:tcW w:w="1684" w:type="dxa"/>
            <w:vAlign w:val="center"/>
          </w:tcPr>
          <w:p>
            <w:pPr>
              <w:spacing w:before="40" w:after="40" w:line="240" w:lineRule="auto"/>
            </w:pPr>
            <w:r>
              <w:rPr>
                <w:sz w:val="17"/>
                <w:szCs w:val="17"/>
              </w:rPr>
              <w:t xml:space="preserve">«ablation.static profile only.recall_top10pct»</w:t>
            </w:r>
          </w:p>
        </w:tc>
      </w:tr>
      <w:tr>
        <w:trPr>
          <w:jc w:val="center"/>
        </w:trPr>
        <w:tc>
          <w:tcPr>
            <w:tcW w:w="4000" w:type="dxa"/>
            <w:vAlign w:val="center"/>
          </w:tcPr>
          <w:p>
            <w:pPr>
              <w:spacing w:before="40" w:after="40" w:line="240" w:lineRule="auto"/>
            </w:pPr>
            <w:r>
              <w:rPr>
                <w:sz w:val="17"/>
                <w:szCs w:val="17"/>
              </w:rPr>
              <w:t xml:space="preserve">Behavioural level only (counts, amounts, active days)</w:t>
            </w:r>
          </w:p>
        </w:tc>
        <w:tc>
          <w:tcPr>
            <w:tcW w:w="1300" w:type="dxa"/>
            <w:vAlign w:val="center"/>
          </w:tcPr>
          <w:p>
            <w:pPr>
              <w:spacing w:before="40" w:after="40" w:line="240" w:lineRule="auto"/>
            </w:pPr>
            <w:r>
              <w:rPr>
                <w:sz w:val="17"/>
                <w:szCs w:val="17"/>
              </w:rPr>
              <w:t xml:space="preserve">«ablation.behavioural level only.n_features»</w:t>
            </w:r>
          </w:p>
        </w:tc>
        <w:tc>
          <w:tcPr>
            <w:tcW w:w="1500" w:type="dxa"/>
            <w:vAlign w:val="center"/>
          </w:tcPr>
          <w:p>
            <w:pPr>
              <w:spacing w:before="40" w:after="40" w:line="240" w:lineRule="auto"/>
            </w:pPr>
            <w:r>
              <w:rPr>
                <w:sz w:val="17"/>
                <w:szCs w:val="17"/>
              </w:rPr>
              <w:t xml:space="preserve">«ablation.behavioural level only.pr_auc»</w:t>
            </w:r>
          </w:p>
        </w:tc>
        <w:tc>
          <w:tcPr>
            <w:tcW w:w="1500" w:type="dxa"/>
            <w:vAlign w:val="center"/>
          </w:tcPr>
          <w:p>
            <w:pPr>
              <w:spacing w:before="40" w:after="40" w:line="240" w:lineRule="auto"/>
            </w:pPr>
            <w:r>
              <w:rPr>
                <w:sz w:val="17"/>
                <w:szCs w:val="17"/>
              </w:rPr>
              <w:t xml:space="preserve">«ablation.behavioural level only.recall»</w:t>
            </w:r>
          </w:p>
        </w:tc>
        <w:tc>
          <w:tcPr>
            <w:tcW w:w="1684" w:type="dxa"/>
            <w:vAlign w:val="center"/>
          </w:tcPr>
          <w:p>
            <w:pPr>
              <w:spacing w:before="40" w:after="40" w:line="240" w:lineRule="auto"/>
            </w:pPr>
            <w:r>
              <w:rPr>
                <w:sz w:val="17"/>
                <w:szCs w:val="17"/>
              </w:rPr>
              <w:t xml:space="preserve">«ablation.behavioural level only.recall_top10pct»</w:t>
            </w:r>
          </w:p>
        </w:tc>
      </w:tr>
      <w:tr>
        <w:trPr>
          <w:jc w:val="center"/>
        </w:trPr>
        <w:tc>
          <w:tcPr>
            <w:tcW w:w="4000" w:type="dxa"/>
            <w:vAlign w:val="center"/>
          </w:tcPr>
          <w:p>
            <w:pPr>
              <w:spacing w:before="40" w:after="40" w:line="240" w:lineRule="auto"/>
            </w:pPr>
            <w:r>
              <w:rPr>
                <w:sz w:val="17"/>
                <w:szCs w:val="17"/>
              </w:rPr>
              <w:t xml:space="preserve">Trend / rhythm only (change and gap features)</w:t>
            </w:r>
          </w:p>
        </w:tc>
        <w:tc>
          <w:tcPr>
            <w:tcW w:w="1300" w:type="dxa"/>
            <w:vAlign w:val="center"/>
          </w:tcPr>
          <w:p>
            <w:pPr>
              <w:spacing w:before="40" w:after="40" w:line="240" w:lineRule="auto"/>
            </w:pPr>
            <w:r>
              <w:rPr>
                <w:sz w:val="17"/>
                <w:szCs w:val="17"/>
              </w:rPr>
              <w:t xml:space="preserve">«ablation.trend/rhythm only.n_features»</w:t>
            </w:r>
          </w:p>
        </w:tc>
        <w:tc>
          <w:tcPr>
            <w:tcW w:w="1500" w:type="dxa"/>
            <w:vAlign w:val="center"/>
          </w:tcPr>
          <w:p>
            <w:pPr>
              <w:spacing w:before="40" w:after="40" w:line="240" w:lineRule="auto"/>
            </w:pPr>
            <w:r>
              <w:rPr>
                <w:sz w:val="17"/>
                <w:szCs w:val="17"/>
              </w:rPr>
              <w:t xml:space="preserve">«ablation.trend/rhythm only.pr_auc»</w:t>
            </w:r>
          </w:p>
        </w:tc>
        <w:tc>
          <w:tcPr>
            <w:tcW w:w="1500" w:type="dxa"/>
            <w:vAlign w:val="center"/>
          </w:tcPr>
          <w:p>
            <w:pPr>
              <w:spacing w:before="40" w:after="40" w:line="240" w:lineRule="auto"/>
            </w:pPr>
            <w:r>
              <w:rPr>
                <w:sz w:val="17"/>
                <w:szCs w:val="17"/>
              </w:rPr>
              <w:t xml:space="preserve">«ablation.trend/rhythm only.recall»</w:t>
            </w:r>
          </w:p>
        </w:tc>
        <w:tc>
          <w:tcPr>
            <w:tcW w:w="1684" w:type="dxa"/>
            <w:vAlign w:val="center"/>
          </w:tcPr>
          <w:p>
            <w:pPr>
              <w:spacing w:before="40" w:after="40" w:line="240" w:lineRule="auto"/>
            </w:pPr>
            <w:r>
              <w:rPr>
                <w:sz w:val="17"/>
                <w:szCs w:val="17"/>
              </w:rPr>
              <w:t xml:space="preserve">«ablation.trend/rhythm only.recall_top10pct»</w:t>
            </w:r>
          </w:p>
        </w:tc>
      </w:tr>
      <w:tr>
        <w:trPr>
          <w:jc w:val="center"/>
        </w:trPr>
        <w:tc>
          <w:tcPr>
            <w:tcW w:w="4000" w:type="dxa"/>
            <w:vAlign w:val="center"/>
          </w:tcPr>
          <w:p>
            <w:pPr>
              <w:spacing w:before="40" w:after="40" w:line="240" w:lineRule="auto"/>
            </w:pPr>
            <w:r>
              <w:rPr>
                <w:sz w:val="17"/>
                <w:szCs w:val="17"/>
              </w:rPr>
              <w:t xml:space="preserve">Behavioural (level + trend)</w:t>
            </w:r>
          </w:p>
        </w:tc>
        <w:tc>
          <w:tcPr>
            <w:tcW w:w="1300" w:type="dxa"/>
            <w:vAlign w:val="center"/>
          </w:tcPr>
          <w:p>
            <w:pPr>
              <w:spacing w:before="40" w:after="40" w:line="240" w:lineRule="auto"/>
            </w:pPr>
            <w:r>
              <w:rPr>
                <w:sz w:val="17"/>
                <w:szCs w:val="17"/>
              </w:rPr>
              <w:t xml:space="preserve">«ablation.behavioural (level+trend).n_features»</w:t>
            </w:r>
          </w:p>
        </w:tc>
        <w:tc>
          <w:tcPr>
            <w:tcW w:w="1500" w:type="dxa"/>
            <w:vAlign w:val="center"/>
          </w:tcPr>
          <w:p>
            <w:pPr>
              <w:spacing w:before="40" w:after="40" w:line="240" w:lineRule="auto"/>
            </w:pPr>
            <w:r>
              <w:rPr>
                <w:sz w:val="17"/>
                <w:szCs w:val="17"/>
              </w:rPr>
              <w:t xml:space="preserve">«ablation.behavioural (level+trend).pr_auc»</w:t>
            </w:r>
          </w:p>
        </w:tc>
        <w:tc>
          <w:tcPr>
            <w:tcW w:w="1500" w:type="dxa"/>
            <w:vAlign w:val="center"/>
          </w:tcPr>
          <w:p>
            <w:pPr>
              <w:spacing w:before="40" w:after="40" w:line="240" w:lineRule="auto"/>
            </w:pPr>
            <w:r>
              <w:rPr>
                <w:sz w:val="17"/>
                <w:szCs w:val="17"/>
              </w:rPr>
              <w:t xml:space="preserve">«ablation.behavioural (level+trend).recall»</w:t>
            </w:r>
          </w:p>
        </w:tc>
        <w:tc>
          <w:tcPr>
            <w:tcW w:w="1684" w:type="dxa"/>
            <w:vAlign w:val="center"/>
          </w:tcPr>
          <w:p>
            <w:pPr>
              <w:spacing w:before="40" w:after="40" w:line="240" w:lineRule="auto"/>
            </w:pPr>
            <w:r>
              <w:rPr>
                <w:sz w:val="17"/>
                <w:szCs w:val="17"/>
              </w:rPr>
              <w:t xml:space="preserve">«ablation.behavioural (level+trend).recall_top10pct»</w:t>
            </w:r>
          </w:p>
        </w:tc>
      </w:tr>
      <w:tr>
        <w:trPr>
          <w:jc w:val="center"/>
        </w:trPr>
        <w:tc>
          <w:tcPr>
            <w:tcW w:w="4000" w:type="dxa"/>
            <w:vAlign w:val="center"/>
          </w:tcPr>
          <w:p>
            <w:pPr>
              <w:spacing w:before="40" w:after="40" w:line="240" w:lineRule="auto"/>
            </w:pPr>
            <w:r>
              <w:rPr>
                <w:sz w:val="17"/>
                <w:szCs w:val="17"/>
              </w:rPr>
              <w:t xml:space="preserve">Full model</w:t>
            </w:r>
          </w:p>
        </w:tc>
        <w:tc>
          <w:tcPr>
            <w:tcW w:w="1300" w:type="dxa"/>
            <w:vAlign w:val="center"/>
          </w:tcPr>
          <w:p>
            <w:pPr>
              <w:spacing w:before="40" w:after="40" w:line="240" w:lineRule="auto"/>
            </w:pPr>
            <w:r>
              <w:rPr>
                <w:sz w:val="17"/>
                <w:szCs w:val="17"/>
              </w:rPr>
              <w:t xml:space="preserve">«ablation.full model.n_features»</w:t>
            </w:r>
          </w:p>
        </w:tc>
        <w:tc>
          <w:tcPr>
            <w:tcW w:w="1500" w:type="dxa"/>
            <w:vAlign w:val="center"/>
          </w:tcPr>
          <w:p>
            <w:pPr>
              <w:spacing w:before="40" w:after="40" w:line="240" w:lineRule="auto"/>
            </w:pPr>
            <w:r>
              <w:rPr>
                <w:sz w:val="17"/>
                <w:szCs w:val="17"/>
              </w:rPr>
              <w:t xml:space="preserve">«ablation.full model.pr_auc»</w:t>
            </w:r>
          </w:p>
        </w:tc>
        <w:tc>
          <w:tcPr>
            <w:tcW w:w="1500" w:type="dxa"/>
            <w:vAlign w:val="center"/>
          </w:tcPr>
          <w:p>
            <w:pPr>
              <w:spacing w:before="40" w:after="40" w:line="240" w:lineRule="auto"/>
            </w:pPr>
            <w:r>
              <w:rPr>
                <w:sz w:val="17"/>
                <w:szCs w:val="17"/>
              </w:rPr>
              <w:t xml:space="preserve">«ablation.full model.recall»</w:t>
            </w:r>
          </w:p>
        </w:tc>
        <w:tc>
          <w:tcPr>
            <w:tcW w:w="1684" w:type="dxa"/>
            <w:vAlign w:val="center"/>
          </w:tcPr>
          <w:p>
            <w:pPr>
              <w:spacing w:before="40" w:after="40" w:line="240" w:lineRule="auto"/>
            </w:pPr>
            <w:r>
              <w:rPr>
                <w:sz w:val="17"/>
                <w:szCs w:val="17"/>
              </w:rPr>
              <w:t xml:space="preserve">«ablation.full model.recall_top10pct»</w:t>
            </w:r>
          </w:p>
        </w:tc>
      </w:tr>
      <w:tr>
        <w:trPr>
          <w:jc w:val="center"/>
        </w:trPr>
        <w:tc>
          <w:tcPr>
            <w:tcW w:w="4000" w:type="dxa"/>
            <w:vAlign w:val="center"/>
          </w:tcPr>
          <w:p>
            <w:pPr>
              <w:spacing w:before="40" w:after="40" w:line="240" w:lineRule="auto"/>
            </w:pPr>
            <w:r>
              <w:rPr>
                <w:sz w:val="17"/>
                <w:szCs w:val="17"/>
              </w:rPr>
              <w:t xml:space="preserve">Full model minus untimestamped snapshot fields</w:t>
            </w:r>
          </w:p>
        </w:tc>
        <w:tc>
          <w:tcPr>
            <w:tcW w:w="1300" w:type="dxa"/>
            <w:vAlign w:val="center"/>
          </w:tcPr>
          <w:p>
            <w:pPr>
              <w:spacing w:before="40" w:after="40" w:line="240" w:lineRule="auto"/>
            </w:pPr>
            <w:r>
              <w:rPr>
                <w:sz w:val="17"/>
                <w:szCs w:val="17"/>
              </w:rPr>
              <w:t xml:space="preserve">«ablation.full minus snapshot fields.n_features»</w:t>
            </w:r>
          </w:p>
        </w:tc>
        <w:tc>
          <w:tcPr>
            <w:tcW w:w="1500" w:type="dxa"/>
            <w:vAlign w:val="center"/>
          </w:tcPr>
          <w:p>
            <w:pPr>
              <w:spacing w:before="40" w:after="40" w:line="240" w:lineRule="auto"/>
            </w:pPr>
            <w:r>
              <w:rPr>
                <w:sz w:val="17"/>
                <w:szCs w:val="17"/>
              </w:rPr>
              <w:t xml:space="preserve">«ablation.full minus snapshot fields.pr_auc»</w:t>
            </w:r>
          </w:p>
        </w:tc>
        <w:tc>
          <w:tcPr>
            <w:tcW w:w="1500" w:type="dxa"/>
            <w:vAlign w:val="center"/>
          </w:tcPr>
          <w:p>
            <w:pPr>
              <w:spacing w:before="40" w:after="40" w:line="240" w:lineRule="auto"/>
            </w:pPr>
            <w:r>
              <w:rPr>
                <w:sz w:val="17"/>
                <w:szCs w:val="17"/>
              </w:rPr>
              <w:t xml:space="preserve">«ablation.full minus snapshot fields.recall»</w:t>
            </w:r>
          </w:p>
        </w:tc>
        <w:tc>
          <w:tcPr>
            <w:tcW w:w="1684" w:type="dxa"/>
            <w:vAlign w:val="center"/>
          </w:tcPr>
          <w:p>
            <w:pPr>
              <w:spacing w:before="40" w:after="40" w:line="240" w:lineRule="auto"/>
            </w:pPr>
            <w:r>
              <w:rPr>
                <w:sz w:val="17"/>
                <w:szCs w:val="17"/>
              </w:rPr>
              <w:t xml:space="preserve">«ablation.full minus snapshot fields.recall_top10pct»</w:t>
            </w:r>
          </w:p>
        </w:tc>
      </w:tr>
    </w:tbl>
    <w:p>
      <w:pPr>
        <w:spacing w:before="0" w:after="60" w:line="360" w:lineRule="auto"/>
      </w:pPr>
      <w:r>
        <w:t xml:space="preserve"/>
      </w:r>
    </w:p>
    <w:p>
      <w:pPr>
        <w:spacing w:before="0" w:after="120" w:line="360" w:lineRule="auto"/>
      </w:pPr>
      <w:r>
        <w:t xml:space="preserve">The table answers three questions at once. The gap between the behavioural and static-only rows says whether the ledger or the customer record carries the signal. The gap between 'level only' and 'level + trend' says whether </w:t>
      </w:r>
      <w:r>
        <w:rPr>
          <w:i/>
        </w:rPr>
        <w:t xml:space="preserve">change</w:t>
      </w:r>
      <w:r>
        <w:t xml:space="preserve"> adds anything beyond </w:t>
      </w:r>
      <w:r>
        <w:rPr>
          <w:i/>
        </w:rPr>
        <w:t xml:space="preserve">level</w:t>
      </w:r>
      <w:r>
        <w:t xml:space="preserve"> — the difference between event-triggered and scheduled retention. And the last row prices the look-ahead risk discussed in §6: if performance barely moves when the untimestamped fields are removed, the concern is documented but immaterial; if it drops sharply, the honest headline number is the lower one.</w:t>
      </w:r>
    </w:p>
    <w:p>
      <w:pPr>
        <w:pStyle w:val="Heading2"/>
        <w:spacing w:before="200" w:after="120" w:line="360" w:lineRule="auto"/>
        <w:keepNext/>
      </w:pPr>
      <w:r>
        <w:t xml:space="preserve">3.4  Drivers</w:t>
      </w:r>
    </w:p>
    <w:p>
      <w:pPr>
        <w:spacing w:before="0" w:after="120" w:line="360" w:lineRule="auto"/>
      </w:pPr>
      <w:r>
        <w:t xml:space="preserve">Permutation importance on the validation split, so the test cutoff stays untouched:</w:t>
      </w:r>
    </w:p>
    <w:tbl>
      <w:tblPr>
        <w:tblStyle w:val="TableGrid"/>
        <w:tblW w:w="0" w:type="auto"/>
        <w:jc w:val="center"/>
        <w:tblLook w:val="04A0" w:firstRow="1" w:lastRow="0" w:firstColumn="1" w:lastColumn="0" w:noHBand="0" w:noVBand="1"/>
      </w:tblPr>
      <w:tblGrid>
        <w:gridCol w:w="900"/>
        <w:gridCol w:w="3800"/>
        <w:gridCol w:w="3000"/>
        <w:gridCol w:w="2284"/>
      </w:tblGrid>
      <w:tr>
        <w:trPr>
          <w:jc w:val="center"/>
          <w:tblHeader/>
        </w:trPr>
        <w:tc>
          <w:tcPr>
            <w:tcW w:w="900" w:type="dxa"/>
            <w:shd w:val="clear" w:color="auto" w:fill="14375A"/>
            <w:vAlign w:val="center"/>
          </w:tcPr>
          <w:p>
            <w:pPr>
              <w:spacing w:before="40" w:after="40" w:line="240" w:lineRule="auto"/>
            </w:pPr>
            <w:r>
              <w:rPr>
                <w:sz w:val="18"/>
                <w:szCs w:val="18"/>
                <w:b/>
                <w:color w:val="FFFFFF"/>
              </w:rPr>
              <w:t xml:space="preserve">Rank</w:t>
            </w:r>
          </w:p>
        </w:tc>
        <w:tc>
          <w:tcPr>
            <w:tcW w:w="3800" w:type="dxa"/>
            <w:shd w:val="clear" w:color="auto" w:fill="14375A"/>
            <w:vAlign w:val="center"/>
          </w:tcPr>
          <w:p>
            <w:pPr>
              <w:spacing w:before="40" w:after="40" w:line="240" w:lineRule="auto"/>
            </w:pPr>
            <w:r>
              <w:rPr>
                <w:sz w:val="18"/>
                <w:szCs w:val="18"/>
                <w:b/>
                <w:color w:val="FFFFFF"/>
              </w:rPr>
              <w:t xml:space="preserve">Feature</w:t>
            </w:r>
          </w:p>
        </w:tc>
        <w:tc>
          <w:tcPr>
            <w:tcW w:w="3000" w:type="dxa"/>
            <w:shd w:val="clear" w:color="auto" w:fill="14375A"/>
            <w:vAlign w:val="center"/>
          </w:tcPr>
          <w:p>
            <w:pPr>
              <w:spacing w:before="40" w:after="40" w:line="240" w:lineRule="auto"/>
            </w:pPr>
            <w:r>
              <w:rPr>
                <w:sz w:val="18"/>
                <w:szCs w:val="18"/>
                <w:b/>
                <w:color w:val="FFFFFF"/>
              </w:rPr>
              <w:t xml:space="preserve">Family</w:t>
            </w:r>
          </w:p>
        </w:tc>
        <w:tc>
          <w:tcPr>
            <w:tcW w:w="2284" w:type="dxa"/>
            <w:shd w:val="clear" w:color="auto" w:fill="14375A"/>
            <w:vAlign w:val="center"/>
          </w:tcPr>
          <w:p>
            <w:pPr>
              <w:spacing w:before="40" w:after="40" w:line="240" w:lineRule="auto"/>
            </w:pPr>
            <w:r>
              <w:rPr>
                <w:sz w:val="18"/>
                <w:szCs w:val="18"/>
                <w:b/>
                <w:color w:val="FFFFFF"/>
              </w:rPr>
              <w:t xml:space="preserve">Importance (drop in PR-AUC)</w:t>
            </w:r>
          </w:p>
        </w:tc>
      </w:tr>
      <w:tr>
        <w:trPr>
          <w:jc w:val="center"/>
        </w:trPr>
        <w:tc>
          <w:tcPr>
            <w:tcW w:w="900" w:type="dxa"/>
            <w:vAlign w:val="center"/>
          </w:tcPr>
          <w:p>
            <w:pPr>
              <w:spacing w:before="40" w:after="40" w:line="240" w:lineRule="auto"/>
            </w:pPr>
            <w:r>
              <w:rPr>
                <w:sz w:val="18"/>
                <w:szCs w:val="18"/>
              </w:rPr>
              <w:t xml:space="preserve">1</w:t>
            </w:r>
          </w:p>
        </w:tc>
        <w:tc>
          <w:tcPr>
            <w:tcW w:w="3800" w:type="dxa"/>
            <w:vAlign w:val="center"/>
          </w:tcPr>
          <w:p>
            <w:pPr>
              <w:spacing w:before="40" w:after="40" w:line="240" w:lineRule="auto"/>
            </w:pPr>
            <w:r>
              <w:rPr>
                <w:sz w:val="18"/>
                <w:szCs w:val="18"/>
              </w:rPr>
              <w:t xml:space="preserve">«top_drivers.0.feature»</w:t>
            </w:r>
          </w:p>
        </w:tc>
        <w:tc>
          <w:tcPr>
            <w:tcW w:w="3000" w:type="dxa"/>
            <w:vAlign w:val="center"/>
          </w:tcPr>
          <w:p>
            <w:pPr>
              <w:spacing w:before="40" w:after="40" w:line="240" w:lineRule="auto"/>
            </w:pPr>
            <w:r>
              <w:rPr>
                <w:sz w:val="18"/>
                <w:szCs w:val="18"/>
              </w:rPr>
              <w:t xml:space="preserve">«top_drivers.0.family»</w:t>
            </w:r>
          </w:p>
        </w:tc>
        <w:tc>
          <w:tcPr>
            <w:tcW w:w="2284" w:type="dxa"/>
            <w:vAlign w:val="center"/>
          </w:tcPr>
          <w:p>
            <w:pPr>
              <w:spacing w:before="40" w:after="40" w:line="240" w:lineRule="auto"/>
            </w:pPr>
            <w:r>
              <w:rPr>
                <w:sz w:val="18"/>
                <w:szCs w:val="18"/>
              </w:rPr>
              <w:t xml:space="preserve">«top_drivers.0.importance»</w:t>
            </w:r>
          </w:p>
        </w:tc>
      </w:tr>
      <w:tr>
        <w:trPr>
          <w:jc w:val="center"/>
        </w:trPr>
        <w:tc>
          <w:tcPr>
            <w:tcW w:w="900" w:type="dxa"/>
            <w:vAlign w:val="center"/>
          </w:tcPr>
          <w:p>
            <w:pPr>
              <w:spacing w:before="40" w:after="40" w:line="240" w:lineRule="auto"/>
            </w:pPr>
            <w:r>
              <w:rPr>
                <w:sz w:val="18"/>
                <w:szCs w:val="18"/>
              </w:rPr>
              <w:t xml:space="preserve">2</w:t>
            </w:r>
          </w:p>
        </w:tc>
        <w:tc>
          <w:tcPr>
            <w:tcW w:w="3800" w:type="dxa"/>
            <w:vAlign w:val="center"/>
          </w:tcPr>
          <w:p>
            <w:pPr>
              <w:spacing w:before="40" w:after="40" w:line="240" w:lineRule="auto"/>
            </w:pPr>
            <w:r>
              <w:rPr>
                <w:sz w:val="18"/>
                <w:szCs w:val="18"/>
              </w:rPr>
              <w:t xml:space="preserve">«top_drivers.1.feature»</w:t>
            </w:r>
          </w:p>
        </w:tc>
        <w:tc>
          <w:tcPr>
            <w:tcW w:w="3000" w:type="dxa"/>
            <w:vAlign w:val="center"/>
          </w:tcPr>
          <w:p>
            <w:pPr>
              <w:spacing w:before="40" w:after="40" w:line="240" w:lineRule="auto"/>
            </w:pPr>
            <w:r>
              <w:rPr>
                <w:sz w:val="18"/>
                <w:szCs w:val="18"/>
              </w:rPr>
              <w:t xml:space="preserve">«top_drivers.1.family»</w:t>
            </w:r>
          </w:p>
        </w:tc>
        <w:tc>
          <w:tcPr>
            <w:tcW w:w="2284" w:type="dxa"/>
            <w:vAlign w:val="center"/>
          </w:tcPr>
          <w:p>
            <w:pPr>
              <w:spacing w:before="40" w:after="40" w:line="240" w:lineRule="auto"/>
            </w:pPr>
            <w:r>
              <w:rPr>
                <w:sz w:val="18"/>
                <w:szCs w:val="18"/>
              </w:rPr>
              <w:t xml:space="preserve">«top_drivers.1.importance»</w:t>
            </w:r>
          </w:p>
        </w:tc>
      </w:tr>
      <w:tr>
        <w:trPr>
          <w:jc w:val="center"/>
        </w:trPr>
        <w:tc>
          <w:tcPr>
            <w:tcW w:w="900" w:type="dxa"/>
            <w:vAlign w:val="center"/>
          </w:tcPr>
          <w:p>
            <w:pPr>
              <w:spacing w:before="40" w:after="40" w:line="240" w:lineRule="auto"/>
            </w:pPr>
            <w:r>
              <w:rPr>
                <w:sz w:val="18"/>
                <w:szCs w:val="18"/>
              </w:rPr>
              <w:t xml:space="preserve">3</w:t>
            </w:r>
          </w:p>
        </w:tc>
        <w:tc>
          <w:tcPr>
            <w:tcW w:w="3800" w:type="dxa"/>
            <w:vAlign w:val="center"/>
          </w:tcPr>
          <w:p>
            <w:pPr>
              <w:spacing w:before="40" w:after="40" w:line="240" w:lineRule="auto"/>
            </w:pPr>
            <w:r>
              <w:rPr>
                <w:sz w:val="18"/>
                <w:szCs w:val="18"/>
              </w:rPr>
              <w:t xml:space="preserve">«top_drivers.2.feature»</w:t>
            </w:r>
          </w:p>
        </w:tc>
        <w:tc>
          <w:tcPr>
            <w:tcW w:w="3000" w:type="dxa"/>
            <w:vAlign w:val="center"/>
          </w:tcPr>
          <w:p>
            <w:pPr>
              <w:spacing w:before="40" w:after="40" w:line="240" w:lineRule="auto"/>
            </w:pPr>
            <w:r>
              <w:rPr>
                <w:sz w:val="18"/>
                <w:szCs w:val="18"/>
              </w:rPr>
              <w:t xml:space="preserve">«top_drivers.2.family»</w:t>
            </w:r>
          </w:p>
        </w:tc>
        <w:tc>
          <w:tcPr>
            <w:tcW w:w="2284" w:type="dxa"/>
            <w:vAlign w:val="center"/>
          </w:tcPr>
          <w:p>
            <w:pPr>
              <w:spacing w:before="40" w:after="40" w:line="240" w:lineRule="auto"/>
            </w:pPr>
            <w:r>
              <w:rPr>
                <w:sz w:val="18"/>
                <w:szCs w:val="18"/>
              </w:rPr>
              <w:t xml:space="preserve">«top_drivers.2.importance»</w:t>
            </w:r>
          </w:p>
        </w:tc>
      </w:tr>
      <w:tr>
        <w:trPr>
          <w:jc w:val="center"/>
        </w:trPr>
        <w:tc>
          <w:tcPr>
            <w:tcW w:w="900" w:type="dxa"/>
            <w:vAlign w:val="center"/>
          </w:tcPr>
          <w:p>
            <w:pPr>
              <w:spacing w:before="40" w:after="40" w:line="240" w:lineRule="auto"/>
            </w:pPr>
            <w:r>
              <w:rPr>
                <w:sz w:val="18"/>
                <w:szCs w:val="18"/>
              </w:rPr>
              <w:t xml:space="preserve">4</w:t>
            </w:r>
          </w:p>
        </w:tc>
        <w:tc>
          <w:tcPr>
            <w:tcW w:w="3800" w:type="dxa"/>
            <w:vAlign w:val="center"/>
          </w:tcPr>
          <w:p>
            <w:pPr>
              <w:spacing w:before="40" w:after="40" w:line="240" w:lineRule="auto"/>
            </w:pPr>
            <w:r>
              <w:rPr>
                <w:sz w:val="18"/>
                <w:szCs w:val="18"/>
              </w:rPr>
              <w:t xml:space="preserve">«top_drivers.3.feature»</w:t>
            </w:r>
          </w:p>
        </w:tc>
        <w:tc>
          <w:tcPr>
            <w:tcW w:w="3000" w:type="dxa"/>
            <w:vAlign w:val="center"/>
          </w:tcPr>
          <w:p>
            <w:pPr>
              <w:spacing w:before="40" w:after="40" w:line="240" w:lineRule="auto"/>
            </w:pPr>
            <w:r>
              <w:rPr>
                <w:sz w:val="18"/>
                <w:szCs w:val="18"/>
              </w:rPr>
              <w:t xml:space="preserve">«top_drivers.3.family»</w:t>
            </w:r>
          </w:p>
        </w:tc>
        <w:tc>
          <w:tcPr>
            <w:tcW w:w="2284" w:type="dxa"/>
            <w:vAlign w:val="center"/>
          </w:tcPr>
          <w:p>
            <w:pPr>
              <w:spacing w:before="40" w:after="40" w:line="240" w:lineRule="auto"/>
            </w:pPr>
            <w:r>
              <w:rPr>
                <w:sz w:val="18"/>
                <w:szCs w:val="18"/>
              </w:rPr>
              <w:t xml:space="preserve">«top_drivers.3.importance»</w:t>
            </w:r>
          </w:p>
        </w:tc>
      </w:tr>
      <w:tr>
        <w:trPr>
          <w:jc w:val="center"/>
        </w:trPr>
        <w:tc>
          <w:tcPr>
            <w:tcW w:w="900" w:type="dxa"/>
            <w:vAlign w:val="center"/>
          </w:tcPr>
          <w:p>
            <w:pPr>
              <w:spacing w:before="40" w:after="40" w:line="240" w:lineRule="auto"/>
            </w:pPr>
            <w:r>
              <w:rPr>
                <w:sz w:val="18"/>
                <w:szCs w:val="18"/>
              </w:rPr>
              <w:t xml:space="preserve">5</w:t>
            </w:r>
          </w:p>
        </w:tc>
        <w:tc>
          <w:tcPr>
            <w:tcW w:w="3800" w:type="dxa"/>
            <w:vAlign w:val="center"/>
          </w:tcPr>
          <w:p>
            <w:pPr>
              <w:spacing w:before="40" w:after="40" w:line="240" w:lineRule="auto"/>
            </w:pPr>
            <w:r>
              <w:rPr>
                <w:sz w:val="18"/>
                <w:szCs w:val="18"/>
              </w:rPr>
              <w:t xml:space="preserve">«top_drivers.4.feature»</w:t>
            </w:r>
          </w:p>
        </w:tc>
        <w:tc>
          <w:tcPr>
            <w:tcW w:w="3000" w:type="dxa"/>
            <w:vAlign w:val="center"/>
          </w:tcPr>
          <w:p>
            <w:pPr>
              <w:spacing w:before="40" w:after="40" w:line="240" w:lineRule="auto"/>
            </w:pPr>
            <w:r>
              <w:rPr>
                <w:sz w:val="18"/>
                <w:szCs w:val="18"/>
              </w:rPr>
              <w:t xml:space="preserve">«top_drivers.4.family»</w:t>
            </w:r>
          </w:p>
        </w:tc>
        <w:tc>
          <w:tcPr>
            <w:tcW w:w="2284" w:type="dxa"/>
            <w:vAlign w:val="center"/>
          </w:tcPr>
          <w:p>
            <w:pPr>
              <w:spacing w:before="40" w:after="40" w:line="240" w:lineRule="auto"/>
            </w:pPr>
            <w:r>
              <w:rPr>
                <w:sz w:val="18"/>
                <w:szCs w:val="18"/>
              </w:rPr>
              <w:t xml:space="preserve">«top_drivers.4.importance»</w:t>
            </w:r>
          </w:p>
        </w:tc>
      </w:tr>
      <w:tr>
        <w:trPr>
          <w:jc w:val="center"/>
        </w:trPr>
        <w:tc>
          <w:tcPr>
            <w:tcW w:w="900" w:type="dxa"/>
            <w:vAlign w:val="center"/>
          </w:tcPr>
          <w:p>
            <w:pPr>
              <w:spacing w:before="40" w:after="40" w:line="240" w:lineRule="auto"/>
            </w:pPr>
            <w:r>
              <w:rPr>
                <w:sz w:val="18"/>
                <w:szCs w:val="18"/>
              </w:rPr>
              <w:t xml:space="preserve">6</w:t>
            </w:r>
          </w:p>
        </w:tc>
        <w:tc>
          <w:tcPr>
            <w:tcW w:w="3800" w:type="dxa"/>
            <w:vAlign w:val="center"/>
          </w:tcPr>
          <w:p>
            <w:pPr>
              <w:spacing w:before="40" w:after="40" w:line="240" w:lineRule="auto"/>
            </w:pPr>
            <w:r>
              <w:rPr>
                <w:sz w:val="18"/>
                <w:szCs w:val="18"/>
              </w:rPr>
              <w:t xml:space="preserve">«top_drivers.5.feature»</w:t>
            </w:r>
          </w:p>
        </w:tc>
        <w:tc>
          <w:tcPr>
            <w:tcW w:w="3000" w:type="dxa"/>
            <w:vAlign w:val="center"/>
          </w:tcPr>
          <w:p>
            <w:pPr>
              <w:spacing w:before="40" w:after="40" w:line="240" w:lineRule="auto"/>
            </w:pPr>
            <w:r>
              <w:rPr>
                <w:sz w:val="18"/>
                <w:szCs w:val="18"/>
              </w:rPr>
              <w:t xml:space="preserve">«top_drivers.5.family»</w:t>
            </w:r>
          </w:p>
        </w:tc>
        <w:tc>
          <w:tcPr>
            <w:tcW w:w="2284" w:type="dxa"/>
            <w:vAlign w:val="center"/>
          </w:tcPr>
          <w:p>
            <w:pPr>
              <w:spacing w:before="40" w:after="40" w:line="240" w:lineRule="auto"/>
            </w:pPr>
            <w:r>
              <w:rPr>
                <w:sz w:val="18"/>
                <w:szCs w:val="18"/>
              </w:rPr>
              <w:t xml:space="preserve">«top_drivers.5.importance»</w:t>
            </w:r>
          </w:p>
        </w:tc>
      </w:tr>
    </w:tbl>
    <w:p>
      <w:pPr>
        <w:spacing w:before="0" w:after="60" w:line="360" w:lineRule="auto"/>
      </w:pPr>
      <w:r>
        <w:t xml:space="preserve"/>
      </w:r>
    </w:p>
    <w:p>
      <w:pPr>
        <w:spacing w:before="0" w:after="120" w:line="360" w:lineRule="auto"/>
      </w:pPr>
      <w:r>
        <w:t xml:space="preserve">Logistic-regression coefficients confirm the direction of each effect, which importance alone cannot: a feature can matter a great deal while pointing the opposite way to the hypothesis, and that distinction is what makes a driver list usable by a human operator. For the dashboard, per-customer drivers are expressed as deviations from the eligible population — 'silent 34 days against a usual gap of 6' rather than a coefficient.</w:t>
      </w:r>
    </w:p>
    <w:p>
      <w:pPr>
        <w:pStyle w:val="Heading2"/>
        <w:spacing w:before="200" w:after="120" w:line="360" w:lineRule="auto"/>
        <w:keepNext/>
      </w:pPr>
      <w:r>
        <w:t xml:space="preserve">3.5  Where the model is weaker</w:t>
      </w:r>
    </w:p>
    <w:p>
      <w:pPr>
        <w:spacing w:before="0" w:after="120" w:line="360" w:lineRule="auto"/>
      </w:pPr>
      <w:r>
        <w:t xml:space="preserve">Recall and precision were broken out by segment, location, income, value segment, tenure, age and gender, suppressing groups below 200 rows as too noisy to act on. Of «subgroups.n_reported» reported subgroups, «subgroups.n_weak» fell more than ten recall points below the overall figure. Reporting this is not a formality: a retention list that systematically under-detects one location or income band would quietly redistribute the retention budget away from that group.</w:t>
      </w:r>
    </w:p>
    <w:p>
      <w:pPr>
        <w:spacing w:after="0"/>
      </w:pPr>
      <w:r>
        <w:br w:type="page"/>
      </w:r>
    </w:p>
    <w:p>
      <w:pPr>
        <w:pStyle w:val="Heading1"/>
        <w:spacing w:before="200" w:after="120" w:line="360" w:lineRule="auto"/>
        <w:keepNext/>
      </w:pPr>
      <w:r>
        <w:t xml:space="preserve">4  Dashboard and Business Application</w:t>
      </w:r>
    </w:p>
    <w:p>
      <w:pPr>
        <w:spacing w:before="0" w:after="120" w:line="360" w:lineRule="auto"/>
      </w:pPr>
      <w:r>
        <w:t xml:space="preserve">The model's output is not a probability, it is a call list. The scored table written by the pipeline carries, per customer: risk score, risk band, risk percentile, a value measure, the combined retention priority, the three strongest drivers, and the segment attributes needed for filtering.</w:t>
      </w:r>
    </w:p>
    <w:tbl>
      <w:tblPr>
        <w:tblStyle w:val="TableGrid"/>
        <w:tblW w:w="0" w:type="auto"/>
        <w:jc w:val="center"/>
        <w:tblLook w:val="04A0" w:firstRow="1" w:lastRow="0" w:firstColumn="1" w:lastColumn="0" w:noHBand="0" w:noVBand="1"/>
      </w:tblPr>
      <w:tblGrid>
        <w:gridCol w:w="2600"/>
        <w:gridCol w:w="7384"/>
      </w:tblGrid>
      <w:tr>
        <w:trPr>
          <w:jc w:val="center"/>
          <w:tblHeader/>
        </w:trPr>
        <w:tc>
          <w:tcPr>
            <w:tcW w:w="2600" w:type="dxa"/>
            <w:shd w:val="clear" w:color="auto" w:fill="14375A"/>
            <w:vAlign w:val="center"/>
          </w:tcPr>
          <w:p>
            <w:pPr>
              <w:spacing w:before="40" w:after="40" w:line="240" w:lineRule="auto"/>
            </w:pPr>
            <w:r>
              <w:rPr>
                <w:sz w:val="18"/>
                <w:szCs w:val="18"/>
                <w:b/>
                <w:color w:val="FFFFFF"/>
              </w:rPr>
              <w:t xml:space="preserve">Dashboard element</w:t>
            </w:r>
          </w:p>
        </w:tc>
        <w:tc>
          <w:tcPr>
            <w:tcW w:w="7384" w:type="dxa"/>
            <w:shd w:val="clear" w:color="auto" w:fill="14375A"/>
            <w:vAlign w:val="center"/>
          </w:tcPr>
          <w:p>
            <w:pPr>
              <w:spacing w:before="40" w:after="40" w:line="240" w:lineRule="auto"/>
            </w:pPr>
            <w:r>
              <w:rPr>
                <w:sz w:val="18"/>
                <w:szCs w:val="18"/>
                <w:b/>
                <w:color w:val="FFFFFF"/>
              </w:rPr>
              <w:t xml:space="preserve">Design decision and why</w:t>
            </w:r>
          </w:p>
        </w:tc>
      </w:tr>
      <w:tr>
        <w:trPr>
          <w:jc w:val="center"/>
        </w:trPr>
        <w:tc>
          <w:tcPr>
            <w:tcW w:w="2600" w:type="dxa"/>
            <w:vAlign w:val="center"/>
          </w:tcPr>
          <w:p>
            <w:pPr>
              <w:spacing w:before="40" w:after="40" w:line="240" w:lineRule="auto"/>
            </w:pPr>
            <w:r>
              <w:rPr>
                <w:sz w:val="18"/>
                <w:szCs w:val="18"/>
              </w:rPr>
              <w:t xml:space="preserve">Risk bands (High / Medium / Low)</w:t>
            </w:r>
          </w:p>
        </w:tc>
        <w:tc>
          <w:tcPr>
            <w:tcW w:w="7384" w:type="dxa"/>
            <w:vAlign w:val="center"/>
          </w:tcPr>
          <w:p>
            <w:pPr>
              <w:spacing w:before="40" w:after="40" w:line="240" w:lineRule="auto"/>
            </w:pPr>
            <w:r>
              <w:rPr>
                <w:sz w:val="18"/>
                <w:szCs w:val="18"/>
              </w:rPr>
              <w:t xml:space="preserve">Cut at validation-set quantiles rather than round numbers, so 'High' always means the top slice of the distribution the operator is actually looking at.</w:t>
            </w:r>
          </w:p>
        </w:tc>
      </w:tr>
      <w:tr>
        <w:trPr>
          <w:jc w:val="center"/>
        </w:trPr>
        <w:tc>
          <w:tcPr>
            <w:tcW w:w="2600" w:type="dxa"/>
            <w:vAlign w:val="center"/>
          </w:tcPr>
          <w:p>
            <w:pPr>
              <w:spacing w:before="40" w:after="40" w:line="240" w:lineRule="auto"/>
            </w:pPr>
            <w:r>
              <w:rPr>
                <w:sz w:val="18"/>
                <w:szCs w:val="18"/>
              </w:rPr>
              <w:t xml:space="preserve">Retention-priority view</w:t>
            </w:r>
          </w:p>
        </w:tc>
        <w:tc>
          <w:tcPr>
            <w:tcW w:w="7384" w:type="dxa"/>
            <w:vAlign w:val="center"/>
          </w:tcPr>
          <w:p>
            <w:pPr>
              <w:spacing w:before="40" w:after="40" w:line="240" w:lineRule="auto"/>
            </w:pPr>
            <w:r>
              <w:rPr>
                <w:sz w:val="18"/>
                <w:szCs w:val="18"/>
              </w:rPr>
              <w:t xml:space="preserve">Risk percentile × value decile, answering the stakeholder's constraint directly. Until Member B's 90-day value model is joined, observed 90-day pre-cutoff value stands in; the join key is already in place for the swap.</w:t>
            </w:r>
          </w:p>
        </w:tc>
      </w:tr>
      <w:tr>
        <w:trPr>
          <w:jc w:val="center"/>
        </w:trPr>
        <w:tc>
          <w:tcPr>
            <w:tcW w:w="2600" w:type="dxa"/>
            <w:vAlign w:val="center"/>
          </w:tcPr>
          <w:p>
            <w:pPr>
              <w:spacing w:before="40" w:after="40" w:line="240" w:lineRule="auto"/>
            </w:pPr>
            <w:r>
              <w:rPr>
                <w:sz w:val="18"/>
                <w:szCs w:val="18"/>
              </w:rPr>
              <w:t xml:space="preserve">Adjustable capacity control</w:t>
            </w:r>
          </w:p>
        </w:tc>
        <w:tc>
          <w:tcPr>
            <w:tcW w:w="7384" w:type="dxa"/>
            <w:vAlign w:val="center"/>
          </w:tcPr>
          <w:p>
            <w:pPr>
              <w:spacing w:before="40" w:after="40" w:line="240" w:lineRule="auto"/>
            </w:pPr>
            <w:r>
              <w:rPr>
                <w:sz w:val="18"/>
                <w:szCs w:val="18"/>
              </w:rPr>
              <w:t xml:space="preserve">The operator sets how many customers they can contact this week; the view returns that many, with the recall and precision implied by that capacity shown alongside.</w:t>
            </w:r>
          </w:p>
        </w:tc>
      </w:tr>
      <w:tr>
        <w:trPr>
          <w:jc w:val="center"/>
        </w:trPr>
        <w:tc>
          <w:tcPr>
            <w:tcW w:w="2600" w:type="dxa"/>
            <w:vAlign w:val="center"/>
          </w:tcPr>
          <w:p>
            <w:pPr>
              <w:spacing w:before="40" w:after="40" w:line="240" w:lineRule="auto"/>
            </w:pPr>
            <w:r>
              <w:rPr>
                <w:sz w:val="18"/>
                <w:szCs w:val="18"/>
              </w:rPr>
              <w:t xml:space="preserve">Per-customer drivers</w:t>
            </w:r>
          </w:p>
        </w:tc>
        <w:tc>
          <w:tcPr>
            <w:tcW w:w="7384" w:type="dxa"/>
            <w:vAlign w:val="center"/>
          </w:tcPr>
          <w:p>
            <w:pPr>
              <w:spacing w:before="40" w:after="40" w:line="240" w:lineRule="auto"/>
            </w:pPr>
            <w:r>
              <w:rPr>
                <w:sz w:val="18"/>
                <w:szCs w:val="18"/>
              </w:rPr>
              <w:t xml:space="preserve">Expressed as deviations from the population, so the agent opening the record knows what to say.</w:t>
            </w:r>
          </w:p>
        </w:tc>
      </w:tr>
      <w:tr>
        <w:trPr>
          <w:jc w:val="center"/>
        </w:trPr>
        <w:tc>
          <w:tcPr>
            <w:tcW w:w="2600" w:type="dxa"/>
            <w:vAlign w:val="center"/>
          </w:tcPr>
          <w:p>
            <w:pPr>
              <w:spacing w:before="40" w:after="40" w:line="240" w:lineRule="auto"/>
            </w:pPr>
            <w:r>
              <w:rPr>
                <w:sz w:val="18"/>
                <w:szCs w:val="18"/>
              </w:rPr>
              <w:t xml:space="preserve">Model confidence and coverage</w:t>
            </w:r>
          </w:p>
        </w:tc>
        <w:tc>
          <w:tcPr>
            <w:tcW w:w="7384" w:type="dxa"/>
            <w:vAlign w:val="center"/>
          </w:tcPr>
          <w:p>
            <w:pPr>
              <w:spacing w:before="40" w:after="40" w:line="240" w:lineRule="auto"/>
            </w:pPr>
            <w:r>
              <w:rPr>
                <w:sz w:val="18"/>
                <w:szCs w:val="18"/>
              </w:rPr>
              <w:t xml:space="preserve">Calibration and data-freshness indicators are shown on the page, because a stale or poorly calibrated score should visibly lose the operator's trust rather than silently keep it.</w:t>
            </w:r>
          </w:p>
        </w:tc>
      </w:tr>
      <w:tr>
        <w:trPr>
          <w:jc w:val="center"/>
        </w:trPr>
        <w:tc>
          <w:tcPr>
            <w:tcW w:w="2600" w:type="dxa"/>
            <w:vAlign w:val="center"/>
          </w:tcPr>
          <w:p>
            <w:pPr>
              <w:spacing w:before="40" w:after="40" w:line="240" w:lineRule="auto"/>
            </w:pPr>
            <w:r>
              <w:rPr>
                <w:sz w:val="18"/>
                <w:szCs w:val="18"/>
              </w:rPr>
              <w:t xml:space="preserve">Subgroup performance panel</w:t>
            </w:r>
          </w:p>
        </w:tc>
        <w:tc>
          <w:tcPr>
            <w:tcW w:w="7384" w:type="dxa"/>
            <w:vAlign w:val="center"/>
          </w:tcPr>
          <w:p>
            <w:pPr>
              <w:spacing w:before="40" w:after="40" w:line="240" w:lineRule="auto"/>
            </w:pPr>
            <w:r>
              <w:rPr>
                <w:sz w:val="18"/>
                <w:szCs w:val="18"/>
              </w:rPr>
              <w:t xml:space="preserve">Recall by segment, so a group the model serves badly is visible to the person acting on the list.</w:t>
            </w:r>
          </w:p>
        </w:tc>
      </w:tr>
    </w:tbl>
    <w:p>
      <w:pPr>
        <w:spacing w:before="0" w:after="60" w:line="360" w:lineRule="auto"/>
      </w:pPr>
      <w:r>
        <w:t xml:space="preserve"/>
      </w:r>
    </w:p>
    <w:p>
      <w:pPr>
        <w:spacing w:before="0" w:after="120" w:line="360" w:lineRule="auto"/>
      </w:pPr>
      <w:r>
        <w:t xml:space="preserve">The workstream's boundary is worth stating plainly. It ranks customers; it does not choose the intervention, and it does not claim the intervention works. Those are decisions for customer operations, informed by an experiment this project recommends but does not run.</w:t>
      </w:r>
    </w:p>
    <w:p>
      <w:pPr>
        <w:spacing w:after="0"/>
      </w:pPr>
      <w:r>
        <w:br w:type="page"/>
      </w:r>
    </w:p>
    <w:p>
      <w:pPr>
        <w:pStyle w:val="Heading1"/>
        <w:spacing w:before="200" w:after="120" w:line="360" w:lineRule="auto"/>
        <w:keepNext/>
      </w:pPr>
      <w:r>
        <w:t xml:space="preserve">5  Scalability and System Evaluation</w:t>
      </w:r>
    </w:p>
    <w:p>
      <w:pPr>
        <w:spacing w:before="0" w:after="120" w:line="360" w:lineRule="auto"/>
      </w:pPr>
      <w:r>
        <w:t xml:space="preserve">The module assesses system scalability alongside predictive accuracy, so the full pipeline — feature engineering, training and batch scoring — was timed at 25, 50, 75 and 100% of the data. Sampling is by </w:t>
      </w:r>
      <w:r>
        <w:rPr>
          <w:b/>
        </w:rPr>
        <w:t xml:space="preserve">customer</w:t>
      </w:r>
      <w:r>
        <w:t xml:space="preserve">, never by transaction row: sampling rows would silently corrupt every window feature and make the timings meaningless while still producing a plausible-looking chart.</w:t>
      </w:r>
    </w:p>
    <w:tbl>
      <w:tblPr>
        <w:tblStyle w:val="TableGrid"/>
        <w:tblW w:w="0" w:type="auto"/>
        <w:jc w:val="center"/>
        <w:tblLook w:val="04A0" w:firstRow="1" w:lastRow="0" w:firstColumn="1" w:lastColumn="0" w:noHBand="0" w:noVBand="1"/>
      </w:tblPr>
      <w:tblGrid>
        <w:gridCol w:w="1100"/>
        <w:gridCol w:w="1500"/>
        <w:gridCol w:w="1700"/>
        <w:gridCol w:w="1900"/>
        <w:gridCol w:w="1300"/>
        <w:gridCol w:w="1300"/>
        <w:gridCol w:w="1184"/>
      </w:tblGrid>
      <w:tr>
        <w:trPr>
          <w:jc w:val="center"/>
          <w:tblHeader/>
        </w:trPr>
        <w:tc>
          <w:tcPr>
            <w:tcW w:w="1100" w:type="dxa"/>
            <w:shd w:val="clear" w:color="auto" w:fill="14375A"/>
            <w:vAlign w:val="center"/>
          </w:tcPr>
          <w:p>
            <w:pPr>
              <w:spacing w:before="40" w:after="40" w:line="240" w:lineRule="auto"/>
            </w:pPr>
            <w:r>
              <w:rPr>
                <w:sz w:val="17"/>
                <w:szCs w:val="17"/>
                <w:b/>
                <w:color w:val="FFFFFF"/>
              </w:rPr>
              <w:t xml:space="preserve">Fraction</w:t>
            </w:r>
          </w:p>
        </w:tc>
        <w:tc>
          <w:tcPr>
            <w:tcW w:w="1500" w:type="dxa"/>
            <w:shd w:val="clear" w:color="auto" w:fill="14375A"/>
            <w:vAlign w:val="center"/>
          </w:tcPr>
          <w:p>
            <w:pPr>
              <w:spacing w:before="40" w:after="40" w:line="240" w:lineRule="auto"/>
            </w:pPr>
            <w:r>
              <w:rPr>
                <w:sz w:val="17"/>
                <w:szCs w:val="17"/>
                <w:b/>
                <w:color w:val="FFFFFF"/>
              </w:rPr>
              <w:t xml:space="preserve">Customers</w:t>
            </w:r>
          </w:p>
        </w:tc>
        <w:tc>
          <w:tcPr>
            <w:tcW w:w="1700" w:type="dxa"/>
            <w:shd w:val="clear" w:color="auto" w:fill="14375A"/>
            <w:vAlign w:val="center"/>
          </w:tcPr>
          <w:p>
            <w:pPr>
              <w:spacing w:before="40" w:after="40" w:line="240" w:lineRule="auto"/>
            </w:pPr>
            <w:r>
              <w:rPr>
                <w:sz w:val="17"/>
                <w:szCs w:val="17"/>
                <w:b/>
                <w:color w:val="FFFFFF"/>
              </w:rPr>
              <w:t xml:space="preserve">Transactions</w:t>
            </w:r>
          </w:p>
        </w:tc>
        <w:tc>
          <w:tcPr>
            <w:tcW w:w="1900" w:type="dxa"/>
            <w:shd w:val="clear" w:color="auto" w:fill="14375A"/>
            <w:vAlign w:val="center"/>
          </w:tcPr>
          <w:p>
            <w:pPr>
              <w:spacing w:before="40" w:after="40" w:line="240" w:lineRule="auto"/>
            </w:pPr>
            <w:r>
              <w:rPr>
                <w:sz w:val="17"/>
                <w:szCs w:val="17"/>
                <w:b/>
                <w:color w:val="FFFFFF"/>
              </w:rPr>
              <w:t xml:space="preserve">Feature eng. (s)</w:t>
            </w:r>
          </w:p>
        </w:tc>
        <w:tc>
          <w:tcPr>
            <w:tcW w:w="1300" w:type="dxa"/>
            <w:shd w:val="clear" w:color="auto" w:fill="14375A"/>
            <w:vAlign w:val="center"/>
          </w:tcPr>
          <w:p>
            <w:pPr>
              <w:spacing w:before="40" w:after="40" w:line="240" w:lineRule="auto"/>
            </w:pPr>
            <w:r>
              <w:rPr>
                <w:sz w:val="17"/>
                <w:szCs w:val="17"/>
                <w:b/>
                <w:color w:val="FFFFFF"/>
              </w:rPr>
              <w:t xml:space="preserve">Training (s)</w:t>
            </w:r>
          </w:p>
        </w:tc>
        <w:tc>
          <w:tcPr>
            <w:tcW w:w="1300" w:type="dxa"/>
            <w:shd w:val="clear" w:color="auto" w:fill="14375A"/>
            <w:vAlign w:val="center"/>
          </w:tcPr>
          <w:p>
            <w:pPr>
              <w:spacing w:before="40" w:after="40" w:line="240" w:lineRule="auto"/>
            </w:pPr>
            <w:r>
              <w:rPr>
                <w:sz w:val="17"/>
                <w:szCs w:val="17"/>
                <w:b/>
                <w:color w:val="FFFFFF"/>
              </w:rPr>
              <w:t xml:space="preserve">Scoring (s)</w:t>
            </w:r>
          </w:p>
        </w:tc>
        <w:tc>
          <w:tcPr>
            <w:tcW w:w="1184" w:type="dxa"/>
            <w:shd w:val="clear" w:color="auto" w:fill="14375A"/>
            <w:vAlign w:val="center"/>
          </w:tcPr>
          <w:p>
            <w:pPr>
              <w:spacing w:before="40" w:after="40" w:line="240" w:lineRule="auto"/>
            </w:pPr>
            <w:r>
              <w:rPr>
                <w:sz w:val="17"/>
                <w:szCs w:val="17"/>
                <w:b/>
                <w:color w:val="FFFFFF"/>
              </w:rPr>
              <w:t xml:space="preserve">Total (s)</w:t>
            </w:r>
          </w:p>
        </w:tc>
      </w:tr>
      <w:tr>
        <w:trPr>
          <w:jc w:val="center"/>
        </w:trPr>
        <w:tc>
          <w:tcPr>
            <w:tcW w:w="1100" w:type="dxa"/>
            <w:vAlign w:val="center"/>
          </w:tcPr>
          <w:p>
            <w:pPr>
              <w:spacing w:before="40" w:after="40" w:line="240" w:lineRule="auto"/>
            </w:pPr>
            <w:r>
              <w:rPr>
                <w:sz w:val="17"/>
                <w:szCs w:val="17"/>
              </w:rPr>
              <w:t xml:space="preserve">25%</w:t>
            </w:r>
          </w:p>
        </w:tc>
        <w:tc>
          <w:tcPr>
            <w:tcW w:w="1500" w:type="dxa"/>
            <w:vAlign w:val="center"/>
          </w:tcPr>
          <w:p>
            <w:pPr>
              <w:spacing w:before="40" w:after="40" w:line="240" w:lineRule="auto"/>
            </w:pPr>
            <w:r>
              <w:rPr>
                <w:sz w:val="17"/>
                <w:szCs w:val="17"/>
              </w:rPr>
              <w:t xml:space="preserve">«scalability.0.customers»</w:t>
            </w:r>
          </w:p>
        </w:tc>
        <w:tc>
          <w:tcPr>
            <w:tcW w:w="1700" w:type="dxa"/>
            <w:vAlign w:val="center"/>
          </w:tcPr>
          <w:p>
            <w:pPr>
              <w:spacing w:before="40" w:after="40" w:line="240" w:lineRule="auto"/>
            </w:pPr>
            <w:r>
              <w:rPr>
                <w:sz w:val="17"/>
                <w:szCs w:val="17"/>
              </w:rPr>
              <w:t xml:space="preserve">«scalability.0.transactions»</w:t>
            </w:r>
          </w:p>
        </w:tc>
        <w:tc>
          <w:tcPr>
            <w:tcW w:w="1900" w:type="dxa"/>
            <w:vAlign w:val="center"/>
          </w:tcPr>
          <w:p>
            <w:pPr>
              <w:spacing w:before="40" w:after="40" w:line="240" w:lineRule="auto"/>
            </w:pPr>
            <w:r>
              <w:rPr>
                <w:sz w:val="17"/>
                <w:szCs w:val="17"/>
              </w:rPr>
              <w:t xml:space="preserve">«scalability.0.feature_engineering»</w:t>
            </w:r>
          </w:p>
        </w:tc>
        <w:tc>
          <w:tcPr>
            <w:tcW w:w="1300" w:type="dxa"/>
            <w:vAlign w:val="center"/>
          </w:tcPr>
          <w:p>
            <w:pPr>
              <w:spacing w:before="40" w:after="40" w:line="240" w:lineRule="auto"/>
            </w:pPr>
            <w:r>
              <w:rPr>
                <w:sz w:val="17"/>
                <w:szCs w:val="17"/>
              </w:rPr>
              <w:t xml:space="preserve">«scalability.0.model_training»</w:t>
            </w:r>
          </w:p>
        </w:tc>
        <w:tc>
          <w:tcPr>
            <w:tcW w:w="1300" w:type="dxa"/>
            <w:vAlign w:val="center"/>
          </w:tcPr>
          <w:p>
            <w:pPr>
              <w:spacing w:before="40" w:after="40" w:line="240" w:lineRule="auto"/>
            </w:pPr>
            <w:r>
              <w:rPr>
                <w:sz w:val="17"/>
                <w:szCs w:val="17"/>
              </w:rPr>
              <w:t xml:space="preserve">«scalability.0.batch_scoring»</w:t>
            </w:r>
          </w:p>
        </w:tc>
        <w:tc>
          <w:tcPr>
            <w:tcW w:w="1184" w:type="dxa"/>
            <w:vAlign w:val="center"/>
          </w:tcPr>
          <w:p>
            <w:pPr>
              <w:spacing w:before="40" w:after="40" w:line="240" w:lineRule="auto"/>
            </w:pPr>
            <w:r>
              <w:rPr>
                <w:sz w:val="17"/>
                <w:szCs w:val="17"/>
              </w:rPr>
              <w:t xml:space="preserve">«scalability.0.total_seconds»</w:t>
            </w:r>
          </w:p>
        </w:tc>
      </w:tr>
      <w:tr>
        <w:trPr>
          <w:jc w:val="center"/>
        </w:trPr>
        <w:tc>
          <w:tcPr>
            <w:tcW w:w="1100" w:type="dxa"/>
            <w:vAlign w:val="center"/>
          </w:tcPr>
          <w:p>
            <w:pPr>
              <w:spacing w:before="40" w:after="40" w:line="240" w:lineRule="auto"/>
            </w:pPr>
            <w:r>
              <w:rPr>
                <w:sz w:val="17"/>
                <w:szCs w:val="17"/>
              </w:rPr>
              <w:t xml:space="preserve">50%</w:t>
            </w:r>
          </w:p>
        </w:tc>
        <w:tc>
          <w:tcPr>
            <w:tcW w:w="1500" w:type="dxa"/>
            <w:vAlign w:val="center"/>
          </w:tcPr>
          <w:p>
            <w:pPr>
              <w:spacing w:before="40" w:after="40" w:line="240" w:lineRule="auto"/>
            </w:pPr>
            <w:r>
              <w:rPr>
                <w:sz w:val="17"/>
                <w:szCs w:val="17"/>
              </w:rPr>
              <w:t xml:space="preserve">«scalability.1.customers»</w:t>
            </w:r>
          </w:p>
        </w:tc>
        <w:tc>
          <w:tcPr>
            <w:tcW w:w="1700" w:type="dxa"/>
            <w:vAlign w:val="center"/>
          </w:tcPr>
          <w:p>
            <w:pPr>
              <w:spacing w:before="40" w:after="40" w:line="240" w:lineRule="auto"/>
            </w:pPr>
            <w:r>
              <w:rPr>
                <w:sz w:val="17"/>
                <w:szCs w:val="17"/>
              </w:rPr>
              <w:t xml:space="preserve">«scalability.1.transactions»</w:t>
            </w:r>
          </w:p>
        </w:tc>
        <w:tc>
          <w:tcPr>
            <w:tcW w:w="1900" w:type="dxa"/>
            <w:vAlign w:val="center"/>
          </w:tcPr>
          <w:p>
            <w:pPr>
              <w:spacing w:before="40" w:after="40" w:line="240" w:lineRule="auto"/>
            </w:pPr>
            <w:r>
              <w:rPr>
                <w:sz w:val="17"/>
                <w:szCs w:val="17"/>
              </w:rPr>
              <w:t xml:space="preserve">«scalability.1.feature_engineering»</w:t>
            </w:r>
          </w:p>
        </w:tc>
        <w:tc>
          <w:tcPr>
            <w:tcW w:w="1300" w:type="dxa"/>
            <w:vAlign w:val="center"/>
          </w:tcPr>
          <w:p>
            <w:pPr>
              <w:spacing w:before="40" w:after="40" w:line="240" w:lineRule="auto"/>
            </w:pPr>
            <w:r>
              <w:rPr>
                <w:sz w:val="17"/>
                <w:szCs w:val="17"/>
              </w:rPr>
              <w:t xml:space="preserve">«scalability.1.model_training»</w:t>
            </w:r>
          </w:p>
        </w:tc>
        <w:tc>
          <w:tcPr>
            <w:tcW w:w="1300" w:type="dxa"/>
            <w:vAlign w:val="center"/>
          </w:tcPr>
          <w:p>
            <w:pPr>
              <w:spacing w:before="40" w:after="40" w:line="240" w:lineRule="auto"/>
            </w:pPr>
            <w:r>
              <w:rPr>
                <w:sz w:val="17"/>
                <w:szCs w:val="17"/>
              </w:rPr>
              <w:t xml:space="preserve">«scalability.1.batch_scoring»</w:t>
            </w:r>
          </w:p>
        </w:tc>
        <w:tc>
          <w:tcPr>
            <w:tcW w:w="1184" w:type="dxa"/>
            <w:vAlign w:val="center"/>
          </w:tcPr>
          <w:p>
            <w:pPr>
              <w:spacing w:before="40" w:after="40" w:line="240" w:lineRule="auto"/>
            </w:pPr>
            <w:r>
              <w:rPr>
                <w:sz w:val="17"/>
                <w:szCs w:val="17"/>
              </w:rPr>
              <w:t xml:space="preserve">«scalability.1.total_seconds»</w:t>
            </w:r>
          </w:p>
        </w:tc>
      </w:tr>
      <w:tr>
        <w:trPr>
          <w:jc w:val="center"/>
        </w:trPr>
        <w:tc>
          <w:tcPr>
            <w:tcW w:w="1100" w:type="dxa"/>
            <w:vAlign w:val="center"/>
          </w:tcPr>
          <w:p>
            <w:pPr>
              <w:spacing w:before="40" w:after="40" w:line="240" w:lineRule="auto"/>
            </w:pPr>
            <w:r>
              <w:rPr>
                <w:sz w:val="17"/>
                <w:szCs w:val="17"/>
              </w:rPr>
              <w:t xml:space="preserve">75%</w:t>
            </w:r>
          </w:p>
        </w:tc>
        <w:tc>
          <w:tcPr>
            <w:tcW w:w="1500" w:type="dxa"/>
            <w:vAlign w:val="center"/>
          </w:tcPr>
          <w:p>
            <w:pPr>
              <w:spacing w:before="40" w:after="40" w:line="240" w:lineRule="auto"/>
            </w:pPr>
            <w:r>
              <w:rPr>
                <w:sz w:val="17"/>
                <w:szCs w:val="17"/>
              </w:rPr>
              <w:t xml:space="preserve">«scalability.2.customers»</w:t>
            </w:r>
          </w:p>
        </w:tc>
        <w:tc>
          <w:tcPr>
            <w:tcW w:w="1700" w:type="dxa"/>
            <w:vAlign w:val="center"/>
          </w:tcPr>
          <w:p>
            <w:pPr>
              <w:spacing w:before="40" w:after="40" w:line="240" w:lineRule="auto"/>
            </w:pPr>
            <w:r>
              <w:rPr>
                <w:sz w:val="17"/>
                <w:szCs w:val="17"/>
              </w:rPr>
              <w:t xml:space="preserve">«scalability.2.transactions»</w:t>
            </w:r>
          </w:p>
        </w:tc>
        <w:tc>
          <w:tcPr>
            <w:tcW w:w="1900" w:type="dxa"/>
            <w:vAlign w:val="center"/>
          </w:tcPr>
          <w:p>
            <w:pPr>
              <w:spacing w:before="40" w:after="40" w:line="240" w:lineRule="auto"/>
            </w:pPr>
            <w:r>
              <w:rPr>
                <w:sz w:val="17"/>
                <w:szCs w:val="17"/>
              </w:rPr>
              <w:t xml:space="preserve">«scalability.2.feature_engineering»</w:t>
            </w:r>
          </w:p>
        </w:tc>
        <w:tc>
          <w:tcPr>
            <w:tcW w:w="1300" w:type="dxa"/>
            <w:vAlign w:val="center"/>
          </w:tcPr>
          <w:p>
            <w:pPr>
              <w:spacing w:before="40" w:after="40" w:line="240" w:lineRule="auto"/>
            </w:pPr>
            <w:r>
              <w:rPr>
                <w:sz w:val="17"/>
                <w:szCs w:val="17"/>
              </w:rPr>
              <w:t xml:space="preserve">«scalability.2.model_training»</w:t>
            </w:r>
          </w:p>
        </w:tc>
        <w:tc>
          <w:tcPr>
            <w:tcW w:w="1300" w:type="dxa"/>
            <w:vAlign w:val="center"/>
          </w:tcPr>
          <w:p>
            <w:pPr>
              <w:spacing w:before="40" w:after="40" w:line="240" w:lineRule="auto"/>
            </w:pPr>
            <w:r>
              <w:rPr>
                <w:sz w:val="17"/>
                <w:szCs w:val="17"/>
              </w:rPr>
              <w:t xml:space="preserve">«scalability.2.batch_scoring»</w:t>
            </w:r>
          </w:p>
        </w:tc>
        <w:tc>
          <w:tcPr>
            <w:tcW w:w="1184" w:type="dxa"/>
            <w:vAlign w:val="center"/>
          </w:tcPr>
          <w:p>
            <w:pPr>
              <w:spacing w:before="40" w:after="40" w:line="240" w:lineRule="auto"/>
            </w:pPr>
            <w:r>
              <w:rPr>
                <w:sz w:val="17"/>
                <w:szCs w:val="17"/>
              </w:rPr>
              <w:t xml:space="preserve">«scalability.2.total_seconds»</w:t>
            </w:r>
          </w:p>
        </w:tc>
      </w:tr>
      <w:tr>
        <w:trPr>
          <w:jc w:val="center"/>
        </w:trPr>
        <w:tc>
          <w:tcPr>
            <w:tcW w:w="1100" w:type="dxa"/>
            <w:vAlign w:val="center"/>
          </w:tcPr>
          <w:p>
            <w:pPr>
              <w:spacing w:before="40" w:after="40" w:line="240" w:lineRule="auto"/>
            </w:pPr>
            <w:r>
              <w:rPr>
                <w:sz w:val="17"/>
                <w:szCs w:val="17"/>
              </w:rPr>
              <w:t xml:space="preserve">100%</w:t>
            </w:r>
          </w:p>
        </w:tc>
        <w:tc>
          <w:tcPr>
            <w:tcW w:w="1500" w:type="dxa"/>
            <w:vAlign w:val="center"/>
          </w:tcPr>
          <w:p>
            <w:pPr>
              <w:spacing w:before="40" w:after="40" w:line="240" w:lineRule="auto"/>
            </w:pPr>
            <w:r>
              <w:rPr>
                <w:sz w:val="17"/>
                <w:szCs w:val="17"/>
              </w:rPr>
              <w:t xml:space="preserve">«scalability.3.customers»</w:t>
            </w:r>
          </w:p>
        </w:tc>
        <w:tc>
          <w:tcPr>
            <w:tcW w:w="1700" w:type="dxa"/>
            <w:vAlign w:val="center"/>
          </w:tcPr>
          <w:p>
            <w:pPr>
              <w:spacing w:before="40" w:after="40" w:line="240" w:lineRule="auto"/>
            </w:pPr>
            <w:r>
              <w:rPr>
                <w:sz w:val="17"/>
                <w:szCs w:val="17"/>
              </w:rPr>
              <w:t xml:space="preserve">«scalability.3.transactions»</w:t>
            </w:r>
          </w:p>
        </w:tc>
        <w:tc>
          <w:tcPr>
            <w:tcW w:w="1900" w:type="dxa"/>
            <w:vAlign w:val="center"/>
          </w:tcPr>
          <w:p>
            <w:pPr>
              <w:spacing w:before="40" w:after="40" w:line="240" w:lineRule="auto"/>
            </w:pPr>
            <w:r>
              <w:rPr>
                <w:sz w:val="17"/>
                <w:szCs w:val="17"/>
              </w:rPr>
              <w:t xml:space="preserve">«scalability.3.feature_engineering»</w:t>
            </w:r>
          </w:p>
        </w:tc>
        <w:tc>
          <w:tcPr>
            <w:tcW w:w="1300" w:type="dxa"/>
            <w:vAlign w:val="center"/>
          </w:tcPr>
          <w:p>
            <w:pPr>
              <w:spacing w:before="40" w:after="40" w:line="240" w:lineRule="auto"/>
            </w:pPr>
            <w:r>
              <w:rPr>
                <w:sz w:val="17"/>
                <w:szCs w:val="17"/>
              </w:rPr>
              <w:t xml:space="preserve">«scalability.3.model_training»</w:t>
            </w:r>
          </w:p>
        </w:tc>
        <w:tc>
          <w:tcPr>
            <w:tcW w:w="1300" w:type="dxa"/>
            <w:vAlign w:val="center"/>
          </w:tcPr>
          <w:p>
            <w:pPr>
              <w:spacing w:before="40" w:after="40" w:line="240" w:lineRule="auto"/>
            </w:pPr>
            <w:r>
              <w:rPr>
                <w:sz w:val="17"/>
                <w:szCs w:val="17"/>
              </w:rPr>
              <w:t xml:space="preserve">«scalability.3.batch_scoring»</w:t>
            </w:r>
          </w:p>
        </w:tc>
        <w:tc>
          <w:tcPr>
            <w:tcW w:w="1184" w:type="dxa"/>
            <w:vAlign w:val="center"/>
          </w:tcPr>
          <w:p>
            <w:pPr>
              <w:spacing w:before="40" w:after="40" w:line="240" w:lineRule="auto"/>
            </w:pPr>
            <w:r>
              <w:rPr>
                <w:sz w:val="17"/>
                <w:szCs w:val="17"/>
              </w:rPr>
              <w:t xml:space="preserve">«scalability.3.total_seconds»</w:t>
            </w:r>
          </w:p>
        </w:tc>
      </w:tr>
    </w:tbl>
    <w:p>
      <w:pPr>
        <w:spacing w:before="0" w:after="60" w:line="360" w:lineRule="auto"/>
      </w:pPr>
      <w:r>
        <w:t xml:space="preserve"/>
      </w:r>
    </w:p>
    <w:p>
      <w:pPr>
        <w:spacing w:before="0" w:after="120" w:line="360" w:lineRule="auto"/>
      </w:pPr>
      <w:r>
        <w:t xml:space="preserve">Runtime at full scale is «scalability.3.speed_ratio_vs_25pct»× the 25% baseline for «scalability.3.data_ratio_vs_25pct»× the data. Feature engineering dominates, which is expected: the pipeline makes several passes over a 3.16-million-row ledger to build nested windows, while training operates on a panel two orders of magnitude smaller.</w:t>
      </w:r>
    </w:p>
    <w:p>
      <w:pPr>
        <w:spacing w:before="0" w:after="120" w:line="360" w:lineRule="auto"/>
      </w:pPr>
      <w:r>
        <w:t xml:space="preserve">That points at the right optimisation. The windowed aggregations are the bottleneck and they are also the most parallelisable part of the work, so the cloud path partitions the ledger by date and pushes the aggregation into Spark, keeping model training on a single node where it already costs little. Incremental aggregation is the further step: each new cutoff recomputes windows that overlap heavily with the previous cutoff's, so caching the daily per-customer counts would remove most of the repeated work. For a daily batch on this data volume the current single-node runtime is already inside an acceptable window; the distributed path matters for growth, not for today.</w:t>
      </w:r>
    </w:p>
    <w:p>
      <w:pPr>
        <w:spacing w:after="0"/>
      </w:pPr>
      <w:r>
        <w:br w:type="page"/>
      </w:r>
    </w:p>
    <w:p>
      <w:pPr>
        <w:pStyle w:val="Heading1"/>
        <w:spacing w:before="200" w:after="120" w:line="360" w:lineRule="auto"/>
        <w:keepNext/>
      </w:pPr>
      <w:r>
        <w:t xml:space="preserve">6  Problems Encountered</w:t>
      </w:r>
    </w:p>
    <w:p>
      <w:pPr>
        <w:pStyle w:val="Heading2"/>
        <w:spacing w:before="200" w:after="120" w:line="360" w:lineRule="auto"/>
        <w:keepNext/>
      </w:pPr>
      <w:r>
        <w:t xml:space="preserve">6.1  Two conflicting sets of transaction summaries</w:t>
      </w:r>
    </w:p>
    <w:p>
      <w:pPr>
        <w:spacing w:before="0" w:after="120" w:line="360" w:lineRule="auto"/>
      </w:pPr>
      <w:r>
        <w:t xml:space="preserve">The customer table contains two similarly named groups of transaction aggregates, and the obvious ones are the wrong ones. Had `average_transaction_value` and `last_transaction_date` been used at face value, every downstream feature would have been quietly wrong and the models would still have produced respectable-looking metrics. The problem was caught by recomputing all aggregates from the ledger and comparing, rather than by inspecting the columns — the mismatch is invisible to eye-balling. This was raised with all four workstream owners before any modelling began, and became the first clause of the shared preprocessing contract.</w:t>
      </w:r>
    </w:p>
    <w:p>
      <w:pPr>
        <w:pStyle w:val="Heading2"/>
        <w:spacing w:before="200" w:after="120" w:line="360" w:lineRule="auto"/>
        <w:keepNext/>
      </w:pPr>
      <w:r>
        <w:t xml:space="preserve">6.2  Untimestamped experience fields</w:t>
      </w:r>
    </w:p>
    <w:p>
      <w:pPr>
        <w:spacing w:before="0" w:after="120" w:line="360" w:lineRule="auto"/>
      </w:pPr>
      <w:r>
        <w:t xml:space="preserve">`failed_transactions`, `support_tickets_count`, `satisfaction_score`, `nps_score` and the complaint flags are supplied as whole-year totals with no dates. They are also precisely the fields the hypothesis names. This cannot be fixed with better feature engineering: the timestamps do not exist in the data, so a ticket logged after a cutoff is still visible at that cutoff.</w:t>
      </w:r>
    </w:p>
    <w:p>
      <w:pPr>
        <w:spacing w:before="0" w:after="120" w:line="360" w:lineRule="auto"/>
      </w:pPr>
      <w:r>
        <w:t xml:space="preserve">Three options were available: use them and stay quiet, drop them and lose part of the hypothesis, or use them and measure the damage. The third was chosen. The fields are labelled as a distinct 'snapshot' tier in the feature catalogue, and a parallel model trained without them (§3.3, last row) quantifies the inflation, so a reader can see the optimistic and the conservative figure side by side.</w:t>
      </w:r>
    </w:p>
    <w:p>
      <w:pPr>
        <w:pStyle w:val="Heading2"/>
        <w:spacing w:before="200" w:after="120" w:line="360" w:lineRule="auto"/>
        <w:keepNext/>
      </w:pPr>
      <w:r>
        <w:t xml:space="preserve">6.3  Recency is close to the target by construction</w:t>
      </w:r>
    </w:p>
    <w:p>
      <w:pPr>
        <w:spacing w:before="0" w:after="120" w:line="360" w:lineRule="auto"/>
      </w:pPr>
      <w:r>
        <w:t xml:space="preserve">A customer already silent for 80 days is very likely to stay silent for 60 more. Recency is therefore both the most important feature and the least interesting finding, and a model reporting high recall on the strength of it would be reporting a definition rather than a discovery. The response was to make the recency rule an explicit baseline, so the model must beat what recency alone already achieves, and to separate the trend family in §3.3 so that any additional signal is attributable.</w:t>
      </w:r>
    </w:p>
    <w:p>
      <w:pPr>
        <w:pStyle w:val="Heading2"/>
        <w:spacing w:before="200" w:after="120" w:line="360" w:lineRule="auto"/>
        <w:keepNext/>
      </w:pPr>
      <w:r>
        <w:t xml:space="preserve">6.4  Defining the outcome window without truncating labels</w:t>
      </w:r>
    </w:p>
    <w:p>
      <w:pPr>
        <w:spacing w:before="0" w:after="120" w:line="360" w:lineRule="auto"/>
      </w:pPr>
      <w:r>
        <w:t xml:space="preserve">The first cutoff schedule placed the test window so that it ran past the end of the ledger, which silently mislabels customers as inactive when the data simply stops. The cutoffs were re-derived from the ledger end backwards so the test outcome window closes exactly on 2023-12-29, and the notebook now asserts this rather than trusting it — a design error that produces optimistic labels is worth an assertion, not a comment.</w:t>
      </w:r>
    </w:p>
    <w:p>
      <w:pPr>
        <w:pStyle w:val="Heading2"/>
        <w:spacing w:before="200" w:after="120" w:line="360" w:lineRule="auto"/>
        <w:keepNext/>
      </w:pPr>
      <w:r>
        <w:t xml:space="preserve">6.5  Class imbalance without corrupting the panel</w:t>
      </w:r>
    </w:p>
    <w:p>
      <w:pPr>
        <w:spacing w:before="0" w:after="120" w:line="360" w:lineRule="auto"/>
      </w:pPr>
      <w:r>
        <w:t xml:space="preserve">Inactivity is the minority class, and the usual reflex is synthetic oversampling. That is wrong here: a panel repeats the same customer at several cutoffs, so interpolating between rows can manufacture a customer who is a blend of one real person at two points in time. Class weights were used instead, which also leaves the predicted probabilities interpretable for the dashboard, and thresholds were tuned on validation rather than left at 0.5.</w:t>
      </w:r>
    </w:p>
    <w:p>
      <w:pPr>
        <w:spacing w:after="0"/>
      </w:pPr>
      <w:r>
        <w:br w:type="page"/>
      </w:r>
    </w:p>
    <w:p>
      <w:pPr>
        <w:pStyle w:val="Heading1"/>
        <w:spacing w:before="200" w:after="120" w:line="360" w:lineRule="auto"/>
        <w:keepNext/>
      </w:pPr>
      <w:r>
        <w:t xml:space="preserve">7  Conclusion and Recommendations</w:t>
      </w:r>
    </w:p>
    <w:p>
      <w:pPr>
        <w:spacing w:before="0" w:after="120" w:line="360" w:lineRule="auto"/>
      </w:pPr>
      <w:r>
        <w:t xml:space="preserve">This workstream set out to convert one year of Colombian fintech data into a decision the business can act on before a customer goes quiet. It produced a leakage-controlled panel of «panel.rows» customer-cutoff observations, a chronologically validated classifier for `inactive_next_60d`, and a scored retention list ordered by risk and value. On the held-out cutoff the selected «best_model.name» model reached recall «best_model.recall» at precision «best_model.precision» (PR-AUC «best_model.pr_auc»), and captured «best_model.recall_top10pct» of eventual inactivity within the highest-risk 10% of customers.</w:t>
      </w:r>
    </w:p>
    <w:p>
      <w:pPr>
        <w:spacing w:before="0" w:after="120" w:line="360" w:lineRule="auto"/>
      </w:pPr>
      <w:r>
        <w:t xml:space="preserve">Measured against the project's own expectations, the outcome fits in the ways that matter and falls short in one that should be stated. It fits in that the pipeline runs end to end on cloud-scale data, the model beats both baselines, the drivers are interpretable, and the output is a prioritised list rather than a score. It falls short in that the hypothesis cannot be pronounced true as a whole: it names seven mechanisms, and §3.3 shows they do not contribute equally — the behavioural families carry most of the signal, while the experience and demographic clauses contribute far less than the proposal implied, and part of even that contribution rests on fields whose timing cannot be verified. A hypothesis that is partly supported and honestly decomposed is a more useful result than one declared correct in full.</w:t>
      </w:r>
    </w:p>
    <w:p>
      <w:pPr>
        <w:spacing w:before="0" w:after="120" w:line="360" w:lineRule="auto"/>
      </w:pPr>
      <w:r>
        <w:rPr>
          <w:b/>
        </w:rPr>
        <w:t xml:space="preserve">Recommendations, in order of confidence:</w:t>
      </w:r>
    </w:p>
    <w:p>
      <w:pPr>
        <w:pStyle w:val="ListNumber"/>
        <w:spacing w:before="0" w:after="60" w:line="360" w:lineRule="auto"/>
      </w:pPr>
      <w:r>
        <w:rPr>
          <w:b/>
        </w:rPr>
        <w:t xml:space="preserve">Operate on the priority cell, not the risk ranking.</w:t>
      </w:r>
      <w:r>
        <w:t xml:space="preserve"> Contact high-risk </w:t>
      </w:r>
      <w:r>
        <w:rPr>
          <w:i/>
        </w:rPr>
        <w:t xml:space="preserve">and</w:t>
      </w:r>
      <w:r>
        <w:t xml:space="preserve"> high-value customers at a weekly capacity set by staffing. This follows directly from the stakeholder's constraint and costs nothing extra to implement.</w:t>
      </w:r>
    </w:p>
    <w:p>
      <w:pPr>
        <w:pStyle w:val="ListNumber"/>
        <w:spacing w:before="0" w:after="60" w:line="360" w:lineRule="auto"/>
      </w:pPr>
      <w:r>
        <w:rPr>
          <w:b/>
        </w:rPr>
        <w:t xml:space="preserve">Trigger on behavioural change, not on a calendar.</w:t>
      </w:r>
      <w:r>
        <w:t xml:space="preserve"> The signal lives in features that move week to week, so scoring should be a scheduled batch feeding an alert queue, not a quarterly campaign list.</w:t>
      </w:r>
    </w:p>
    <w:p>
      <w:pPr>
        <w:pStyle w:val="ListNumber"/>
        <w:spacing w:before="0" w:after="60" w:line="360" w:lineRule="auto"/>
      </w:pPr>
      <w:r>
        <w:rPr>
          <w:b/>
        </w:rPr>
        <w:t xml:space="preserve">Report the conservative number internally.</w:t>
      </w:r>
      <w:r>
        <w:t xml:space="preserve"> Where the snapshot-free model in §3.3 is materially weaker, plan capacity against that figure; it is the one that does not depend on fields whose timing cannot be verified.</w:t>
      </w:r>
    </w:p>
    <w:p>
      <w:pPr>
        <w:pStyle w:val="ListNumber"/>
        <w:spacing w:before="0" w:after="60" w:line="360" w:lineRule="auto"/>
      </w:pPr>
      <w:r>
        <w:rPr>
          <w:b/>
        </w:rPr>
        <w:t xml:space="preserve">Run the first campaign as an experiment.</w:t>
      </w:r>
      <w:r>
        <w:t xml:space="preserve"> Hold back a random portion of the priority cell and compare. Nothing in this report shows that contact changes behaviour, and this is the cheapest way to find out.</w:t>
      </w:r>
    </w:p>
    <w:p>
      <w:pPr>
        <w:pStyle w:val="ListNumber"/>
        <w:spacing w:before="0" w:after="60" w:line="360" w:lineRule="auto"/>
      </w:pPr>
      <w:r>
        <w:rPr>
          <w:b/>
        </w:rPr>
        <w:t xml:space="preserve">Fix the data at source.</w:t>
      </w:r>
      <w:r>
        <w:t xml:space="preserve"> Ask for timestamps on support tickets, failed transactions and satisfaction responses, and for the unreliable summary columns to be corrected or withdrawn. Both would improve every workstream in the platform, not just this one.</w:t>
      </w:r>
    </w:p>
    <w:p>
      <w:pPr>
        <w:spacing w:before="0" w:after="120" w:line="360" w:lineRule="auto"/>
      </w:pPr>
      <w:r>
        <w:rPr>
          <w:b/>
        </w:rPr>
        <w:t xml:space="preserve">Limits to carry forward.</w:t>
      </w:r>
      <w:r>
        <w:t xml:space="preserve"> The target is </w:t>
      </w:r>
      <w:r>
        <w:rPr>
          <w:i/>
        </w:rPr>
        <w:t xml:space="preserve">no observed transactions in 60 days</w:t>
      </w:r>
      <w:r>
        <w:t xml:space="preserve">, which is not account closure: a customer may hold a balance, keep products open and simply not transact. The data covers one calendar year and four cutoffs, which supports chronological validation but no claim about seasonality — and the test cutoff sits in the October-to-December window, so a Colombian year-end effect cannot be separated from model quality. Every relationship reported here is an association. And the findings describe one anonymised company; external or later-period validation would be needed before generalising them.</w:t>
      </w:r>
    </w:p>
    <w:p>
      <w:pPr>
        <w:spacing w:after="0"/>
      </w:pPr>
      <w:r>
        <w:br w:type="page"/>
      </w:r>
    </w:p>
    <w:p>
      <w:pPr>
        <w:pStyle w:val="Heading1"/>
        <w:spacing w:before="200" w:after="120" w:line="360" w:lineRule="auto"/>
        <w:keepNext/>
      </w:pPr>
      <w:r>
        <w:t xml:space="preserve">8  References and Artefacts</w:t>
      </w:r>
    </w:p>
    <w:p>
      <w:pPr>
        <w:pStyle w:val="Heading2"/>
        <w:spacing w:before="200" w:after="120" w:line="360" w:lineRule="auto"/>
        <w:keepNext/>
      </w:pPr>
      <w:r>
        <w:t xml:space="preserve">8.1  Data and supporting sources</w:t>
      </w:r>
    </w:p>
    <w:p>
      <w:pPr>
        <w:pStyle w:val="ListBullet"/>
        <w:spacing w:before="0" w:after="60" w:line="360" w:lineRule="auto"/>
      </w:pPr>
      <w:r>
        <w:t xml:space="preserve">COFINFAD dataset, Mendeley Data: https://data.mendeley.com/datasets/mhb4zn3258</w:t>
      </w:r>
    </w:p>
    <w:p>
      <w:pPr>
        <w:pStyle w:val="ListBullet"/>
        <w:spacing w:before="0" w:after="60" w:line="360" w:lineRule="auto"/>
      </w:pPr>
      <w:r>
        <w:t xml:space="preserve">COFINFAD, Hugging Face mirror: https://huggingface.co/datasets/luisdavidtrejosrojas/cofinfad</w:t>
      </w:r>
    </w:p>
    <w:p>
      <w:pPr>
        <w:pStyle w:val="ListBullet"/>
        <w:spacing w:before="0" w:after="60" w:line="360" w:lineRule="auto"/>
      </w:pPr>
      <w:r>
        <w:t xml:space="preserve">COFINFAD dataset article: https://doi.org/10.1016/j.dib.2026.112484</w:t>
      </w:r>
    </w:p>
    <w:p>
      <w:pPr>
        <w:pStyle w:val="ListBullet"/>
        <w:spacing w:before="0" w:after="60" w:line="360" w:lineRule="auto"/>
      </w:pPr>
      <w:r>
        <w:t xml:space="preserve">Financial Inclusion Report 2023, Superintendencia Financiera de Colombia: https://www.superfinanciera.gov.co/publicaciones/10115193/reporte-de-inclusion-financiera-2023-avances-y-retos-en-colombia/</w:t>
      </w:r>
    </w:p>
    <w:p>
      <w:pPr>
        <w:pStyle w:val="ListBullet"/>
        <w:spacing w:before="0" w:after="60" w:line="360" w:lineRule="auto"/>
      </w:pPr>
      <w:r>
        <w:t xml:space="preserve">Financial Infrastructure and Payment Instruments Report 2024, Banco de la República: https://www.banrep.gov.co/en/publications-research/financial-infrastructure-payment-instruments-report/2024</w:t>
      </w:r>
    </w:p>
    <w:p>
      <w:pPr>
        <w:pStyle w:val="ListBullet"/>
        <w:spacing w:before="0" w:after="60" w:line="360" w:lineRule="auto"/>
      </w:pPr>
      <w:r>
        <w:t xml:space="preserve">Colombia Financial Technology, U.S. International Trade Administration: https://www.trade.gov/market-intelligence/colombia-financial-technology</w:t>
      </w:r>
    </w:p>
    <w:p>
      <w:pPr>
        <w:pStyle w:val="ListBullet"/>
        <w:spacing w:before="0" w:after="60" w:line="360" w:lineRule="auto"/>
      </w:pPr>
      <w:r>
        <w:t xml:space="preserve">Finnovista Fintech Radar Colombia: https://assets.ctfassets.net/bvz14004tu0h/2WuRBepO4liQPXYTXBFJZy/56365603e9bccbb96abf61983ee20c1f/RADAR_COLOMBIA_ENGLISH_.pdf</w:t>
      </w:r>
    </w:p>
    <w:p>
      <w:pPr>
        <w:pStyle w:val="Heading2"/>
        <w:spacing w:before="200" w:after="120" w:line="360" w:lineRule="auto"/>
        <w:keepNext/>
      </w:pPr>
      <w:r>
        <w:t xml:space="preserve">8.2  Artefacts produced by this workstream</w:t>
      </w:r>
    </w:p>
    <w:p>
      <w:pPr>
        <w:spacing w:before="0" w:after="120" w:line="360" w:lineRule="auto"/>
      </w:pPr>
      <w:r>
        <w:rPr>
          <w:sz w:val="18"/>
          <w:szCs w:val="18"/>
        </w:rPr>
        <w:t xml:space="preserve">Excluded from the page count, per the report guidelines.</w:t>
      </w:r>
    </w:p>
    <w:tbl>
      <w:tblPr>
        <w:tblStyle w:val="TableGrid"/>
        <w:tblW w:w="0" w:type="auto"/>
        <w:jc w:val="center"/>
        <w:tblLook w:val="04A0" w:firstRow="1" w:lastRow="0" w:firstColumn="1" w:lastColumn="0" w:noHBand="0" w:noVBand="1"/>
      </w:tblPr>
      <w:tblGrid>
        <w:gridCol w:w="4200"/>
        <w:gridCol w:w="5784"/>
      </w:tblGrid>
      <w:tr>
        <w:trPr>
          <w:jc w:val="center"/>
          <w:tblHeader/>
        </w:trPr>
        <w:tc>
          <w:tcPr>
            <w:tcW w:w="4200" w:type="dxa"/>
            <w:shd w:val="clear" w:color="auto" w:fill="14375A"/>
            <w:vAlign w:val="center"/>
          </w:tcPr>
          <w:p>
            <w:pPr>
              <w:spacing w:before="40" w:after="40" w:line="240" w:lineRule="auto"/>
            </w:pPr>
            <w:r>
              <w:rPr>
                <w:sz w:val="17"/>
                <w:szCs w:val="17"/>
                <w:b/>
                <w:color w:val="FFFFFF"/>
              </w:rPr>
              <w:t xml:space="preserve">Artefact</w:t>
            </w:r>
          </w:p>
        </w:tc>
        <w:tc>
          <w:tcPr>
            <w:tcW w:w="5784" w:type="dxa"/>
            <w:shd w:val="clear" w:color="auto" w:fill="14375A"/>
            <w:vAlign w:val="center"/>
          </w:tcPr>
          <w:p>
            <w:pPr>
              <w:spacing w:before="40" w:after="40" w:line="240" w:lineRule="auto"/>
            </w:pPr>
            <w:r>
              <w:rPr>
                <w:sz w:val="17"/>
                <w:szCs w:val="17"/>
                <w:b/>
                <w:color w:val="FFFFFF"/>
              </w:rPr>
              <w:t xml:space="preserve">Contents</w:t>
            </w:r>
          </w:p>
        </w:tc>
      </w:tr>
      <w:tr>
        <w:trPr>
          <w:jc w:val="center"/>
        </w:trPr>
        <w:tc>
          <w:tcPr>
            <w:tcW w:w="4200" w:type="dxa"/>
            <w:vAlign w:val="center"/>
          </w:tcPr>
          <w:p>
            <w:pPr>
              <w:spacing w:before="40" w:after="40" w:line="240" w:lineRule="auto"/>
            </w:pPr>
            <w:r>
              <w:rPr>
                <w:sz w:val="17"/>
                <w:szCs w:val="17"/>
              </w:rPr>
              <w:t xml:space="preserve">EXPLORATORY DATA ANALYSIS.ipynb</w:t>
            </w:r>
          </w:p>
        </w:tc>
        <w:tc>
          <w:tcPr>
            <w:tcW w:w="5784" w:type="dxa"/>
            <w:vAlign w:val="center"/>
          </w:tcPr>
          <w:p>
            <w:pPr>
              <w:spacing w:before="40" w:after="40" w:line="240" w:lineRule="auto"/>
            </w:pPr>
            <w:r>
              <w:rPr>
                <w:sz w:val="17"/>
                <w:szCs w:val="17"/>
              </w:rPr>
              <w:t xml:space="preserve">Shared exploration: quality audit, join validation, the Set A / Set B reconciliation, workstream signals</w:t>
            </w:r>
          </w:p>
        </w:tc>
      </w:tr>
      <w:tr>
        <w:trPr>
          <w:jc w:val="center"/>
        </w:trPr>
        <w:tc>
          <w:tcPr>
            <w:tcW w:w="4200" w:type="dxa"/>
            <w:vAlign w:val="center"/>
          </w:tcPr>
          <w:p>
            <w:pPr>
              <w:spacing w:before="40" w:after="40" w:line="240" w:lineRule="auto"/>
            </w:pPr>
            <w:r>
              <w:rPr>
                <w:sz w:val="17"/>
                <w:szCs w:val="17"/>
              </w:rPr>
              <w:t xml:space="preserve">IMPLEMENTATION - INACTIVITY AND RETENTION.ipynb</w:t>
            </w:r>
          </w:p>
        </w:tc>
        <w:tc>
          <w:tcPr>
            <w:tcW w:w="5784" w:type="dxa"/>
            <w:vAlign w:val="center"/>
          </w:tcPr>
          <w:p>
            <w:pPr>
              <w:spacing w:before="40" w:after="40" w:line="240" w:lineRule="auto"/>
            </w:pPr>
            <w:r>
              <w:rPr>
                <w:sz w:val="17"/>
                <w:szCs w:val="17"/>
              </w:rPr>
              <w:t xml:space="preserve">This workstream end to end: preprocessing, panel, features, models, evaluation, scoring, scalability</w:t>
            </w:r>
          </w:p>
        </w:tc>
      </w:tr>
      <w:tr>
        <w:trPr>
          <w:jc w:val="center"/>
        </w:trPr>
        <w:tc>
          <w:tcPr>
            <w:tcW w:w="4200" w:type="dxa"/>
            <w:vAlign w:val="center"/>
          </w:tcPr>
          <w:p>
            <w:pPr>
              <w:spacing w:before="40" w:after="40" w:line="240" w:lineRule="auto"/>
            </w:pPr>
            <w:r>
              <w:rPr>
                <w:sz w:val="17"/>
                <w:szCs w:val="17"/>
              </w:rPr>
              <w:t xml:space="preserve">outputs/tables/retention_panel.parquet</w:t>
            </w:r>
          </w:p>
        </w:tc>
        <w:tc>
          <w:tcPr>
            <w:tcW w:w="5784" w:type="dxa"/>
            <w:vAlign w:val="center"/>
          </w:tcPr>
          <w:p>
            <w:pPr>
              <w:spacing w:before="40" w:after="40" w:line="240" w:lineRule="auto"/>
            </w:pPr>
            <w:r>
              <w:rPr>
                <w:sz w:val="17"/>
                <w:szCs w:val="17"/>
              </w:rPr>
              <w:t xml:space="preserve">The derived analytical table</w:t>
            </w:r>
          </w:p>
        </w:tc>
      </w:tr>
      <w:tr>
        <w:trPr>
          <w:jc w:val="center"/>
        </w:trPr>
        <w:tc>
          <w:tcPr>
            <w:tcW w:w="4200" w:type="dxa"/>
            <w:vAlign w:val="center"/>
          </w:tcPr>
          <w:p>
            <w:pPr>
              <w:spacing w:before="40" w:after="40" w:line="240" w:lineRule="auto"/>
            </w:pPr>
            <w:r>
              <w:rPr>
                <w:sz w:val="17"/>
                <w:szCs w:val="17"/>
              </w:rPr>
              <w:t xml:space="preserve">outputs/tables/feature_catalogue.csv</w:t>
            </w:r>
          </w:p>
        </w:tc>
        <w:tc>
          <w:tcPr>
            <w:tcW w:w="5784" w:type="dxa"/>
            <w:vAlign w:val="center"/>
          </w:tcPr>
          <w:p>
            <w:pPr>
              <w:spacing w:before="40" w:after="40" w:line="240" w:lineRule="auto"/>
            </w:pPr>
            <w:r>
              <w:rPr>
                <w:sz w:val="17"/>
                <w:szCs w:val="17"/>
              </w:rPr>
              <w:t xml:space="preserve">Every feature with its family, time boundary and missingness</w:t>
            </w:r>
          </w:p>
        </w:tc>
      </w:tr>
      <w:tr>
        <w:trPr>
          <w:jc w:val="center"/>
        </w:trPr>
        <w:tc>
          <w:tcPr>
            <w:tcW w:w="4200" w:type="dxa"/>
            <w:vAlign w:val="center"/>
          </w:tcPr>
          <w:p>
            <w:pPr>
              <w:spacing w:before="40" w:after="40" w:line="240" w:lineRule="auto"/>
            </w:pPr>
            <w:r>
              <w:rPr>
                <w:sz w:val="17"/>
                <w:szCs w:val="17"/>
              </w:rPr>
              <w:t xml:space="preserve">outputs/tables/model_scoreboard.csv</w:t>
            </w:r>
          </w:p>
        </w:tc>
        <w:tc>
          <w:tcPr>
            <w:tcW w:w="5784" w:type="dxa"/>
            <w:vAlign w:val="center"/>
          </w:tcPr>
          <w:p>
            <w:pPr>
              <w:spacing w:before="40" w:after="40" w:line="240" w:lineRule="auto"/>
            </w:pPr>
            <w:r>
              <w:rPr>
                <w:sz w:val="17"/>
                <w:szCs w:val="17"/>
              </w:rPr>
              <w:t xml:space="preserve">All models on validation and test</w:t>
            </w:r>
          </w:p>
        </w:tc>
      </w:tr>
      <w:tr>
        <w:trPr>
          <w:jc w:val="center"/>
        </w:trPr>
        <w:tc>
          <w:tcPr>
            <w:tcW w:w="4200" w:type="dxa"/>
            <w:vAlign w:val="center"/>
          </w:tcPr>
          <w:p>
            <w:pPr>
              <w:spacing w:before="40" w:after="40" w:line="240" w:lineRule="auto"/>
            </w:pPr>
            <w:r>
              <w:rPr>
                <w:sz w:val="17"/>
                <w:szCs w:val="17"/>
              </w:rPr>
              <w:t xml:space="preserve">outputs/tables/feature_family_ablation.csv</w:t>
            </w:r>
          </w:p>
        </w:tc>
        <w:tc>
          <w:tcPr>
            <w:tcW w:w="5784" w:type="dxa"/>
            <w:vAlign w:val="center"/>
          </w:tcPr>
          <w:p>
            <w:pPr>
              <w:spacing w:before="40" w:after="40" w:line="240" w:lineRule="auto"/>
            </w:pPr>
            <w:r>
              <w:rPr>
                <w:sz w:val="17"/>
                <w:szCs w:val="17"/>
              </w:rPr>
              <w:t xml:space="preserve">The hypothesis test of §3.3</w:t>
            </w:r>
          </w:p>
        </w:tc>
      </w:tr>
      <w:tr>
        <w:trPr>
          <w:jc w:val="center"/>
        </w:trPr>
        <w:tc>
          <w:tcPr>
            <w:tcW w:w="4200" w:type="dxa"/>
            <w:vAlign w:val="center"/>
          </w:tcPr>
          <w:p>
            <w:pPr>
              <w:spacing w:before="40" w:after="40" w:line="240" w:lineRule="auto"/>
            </w:pPr>
            <w:r>
              <w:rPr>
                <w:sz w:val="17"/>
                <w:szCs w:val="17"/>
              </w:rPr>
              <w:t xml:space="preserve">outputs/tables/permutation_importance.csv, logreg_coefficients.csv</w:t>
            </w:r>
          </w:p>
        </w:tc>
        <w:tc>
          <w:tcPr>
            <w:tcW w:w="5784" w:type="dxa"/>
            <w:vAlign w:val="center"/>
          </w:tcPr>
          <w:p>
            <w:pPr>
              <w:spacing w:before="40" w:after="40" w:line="240" w:lineRule="auto"/>
            </w:pPr>
            <w:r>
              <w:rPr>
                <w:sz w:val="17"/>
                <w:szCs w:val="17"/>
              </w:rPr>
              <w:t xml:space="preserve">Driver analysis</w:t>
            </w:r>
          </w:p>
        </w:tc>
      </w:tr>
      <w:tr>
        <w:trPr>
          <w:jc w:val="center"/>
        </w:trPr>
        <w:tc>
          <w:tcPr>
            <w:tcW w:w="4200" w:type="dxa"/>
            <w:vAlign w:val="center"/>
          </w:tcPr>
          <w:p>
            <w:pPr>
              <w:spacing w:before="40" w:after="40" w:line="240" w:lineRule="auto"/>
            </w:pPr>
            <w:r>
              <w:rPr>
                <w:sz w:val="17"/>
                <w:szCs w:val="17"/>
              </w:rPr>
              <w:t xml:space="preserve">outputs/tables/subgroup_performance.csv</w:t>
            </w:r>
          </w:p>
        </w:tc>
        <w:tc>
          <w:tcPr>
            <w:tcW w:w="5784" w:type="dxa"/>
            <w:vAlign w:val="center"/>
          </w:tcPr>
          <w:p>
            <w:pPr>
              <w:spacing w:before="40" w:after="40" w:line="240" w:lineRule="auto"/>
            </w:pPr>
            <w:r>
              <w:rPr>
                <w:sz w:val="17"/>
                <w:szCs w:val="17"/>
              </w:rPr>
              <w:t xml:space="preserve">Recall and precision by subgroup</w:t>
            </w:r>
          </w:p>
        </w:tc>
      </w:tr>
      <w:tr>
        <w:trPr>
          <w:jc w:val="center"/>
        </w:trPr>
        <w:tc>
          <w:tcPr>
            <w:tcW w:w="4200" w:type="dxa"/>
            <w:vAlign w:val="center"/>
          </w:tcPr>
          <w:p>
            <w:pPr>
              <w:spacing w:before="40" w:after="40" w:line="240" w:lineRule="auto"/>
            </w:pPr>
            <w:r>
              <w:rPr>
                <w:sz w:val="17"/>
                <w:szCs w:val="17"/>
              </w:rPr>
              <w:t xml:space="preserve">outputs/tables/customer_risk_scores.csv</w:t>
            </w:r>
          </w:p>
        </w:tc>
        <w:tc>
          <w:tcPr>
            <w:tcW w:w="5784" w:type="dxa"/>
            <w:vAlign w:val="center"/>
          </w:tcPr>
          <w:p>
            <w:pPr>
              <w:spacing w:before="40" w:after="40" w:line="240" w:lineRule="auto"/>
            </w:pPr>
            <w:r>
              <w:rPr>
                <w:sz w:val="17"/>
                <w:szCs w:val="17"/>
              </w:rPr>
              <w:t xml:space="preserve">The scored retention list feeding the dashboard</w:t>
            </w:r>
          </w:p>
        </w:tc>
      </w:tr>
      <w:tr>
        <w:trPr>
          <w:jc w:val="center"/>
        </w:trPr>
        <w:tc>
          <w:tcPr>
            <w:tcW w:w="4200" w:type="dxa"/>
            <w:vAlign w:val="center"/>
          </w:tcPr>
          <w:p>
            <w:pPr>
              <w:spacing w:before="40" w:after="40" w:line="240" w:lineRule="auto"/>
            </w:pPr>
            <w:r>
              <w:rPr>
                <w:sz w:val="17"/>
                <w:szCs w:val="17"/>
              </w:rPr>
              <w:t xml:space="preserve">outputs/tables/scalability_benchmark.csv, run_log.csv</w:t>
            </w:r>
          </w:p>
        </w:tc>
        <w:tc>
          <w:tcPr>
            <w:tcW w:w="5784" w:type="dxa"/>
            <w:vAlign w:val="center"/>
          </w:tcPr>
          <w:p>
            <w:pPr>
              <w:spacing w:before="40" w:after="40" w:line="240" w:lineRule="auto"/>
            </w:pPr>
            <w:r>
              <w:rPr>
                <w:sz w:val="17"/>
                <w:szCs w:val="17"/>
              </w:rPr>
              <w:t xml:space="preserve">Timings behind §5</w:t>
            </w:r>
          </w:p>
        </w:tc>
      </w:tr>
      <w:tr>
        <w:trPr>
          <w:jc w:val="center"/>
        </w:trPr>
        <w:tc>
          <w:tcPr>
            <w:tcW w:w="4200" w:type="dxa"/>
            <w:vAlign w:val="center"/>
          </w:tcPr>
          <w:p>
            <w:pPr>
              <w:spacing w:before="40" w:after="40" w:line="240" w:lineRule="auto"/>
            </w:pPr>
            <w:r>
              <w:rPr>
                <w:sz w:val="17"/>
                <w:szCs w:val="17"/>
              </w:rPr>
              <w:t xml:space="preserve">outputs/figures/*.png</w:t>
            </w:r>
          </w:p>
        </w:tc>
        <w:tc>
          <w:tcPr>
            <w:tcW w:w="5784" w:type="dxa"/>
            <w:vAlign w:val="center"/>
          </w:tcPr>
          <w:p>
            <w:pPr>
              <w:spacing w:before="40" w:after="40" w:line="240" w:lineRule="auto"/>
            </w:pPr>
            <w:r>
              <w:rPr>
                <w:sz w:val="17"/>
                <w:szCs w:val="17"/>
              </w:rPr>
              <w:t xml:space="preserve">Twelve figures covering target balance through scalability</w:t>
            </w:r>
          </w:p>
        </w:tc>
      </w:tr>
      <w:tr>
        <w:trPr>
          <w:jc w:val="center"/>
        </w:trPr>
        <w:tc>
          <w:tcPr>
            <w:tcW w:w="4200" w:type="dxa"/>
            <w:vAlign w:val="center"/>
          </w:tcPr>
          <w:p>
            <w:pPr>
              <w:spacing w:before="40" w:after="40" w:line="240" w:lineRule="auto"/>
            </w:pPr>
            <w:r>
              <w:rPr>
                <w:sz w:val="17"/>
                <w:szCs w:val="17"/>
              </w:rPr>
              <w:t xml:space="preserve">outputs/report_numbers.json</w:t>
            </w:r>
          </w:p>
        </w:tc>
        <w:tc>
          <w:tcPr>
            <w:tcW w:w="5784" w:type="dxa"/>
            <w:vAlign w:val="center"/>
          </w:tcPr>
          <w:p>
            <w:pPr>
              <w:spacing w:before="40" w:after="40" w:line="240" w:lineRule="auto"/>
            </w:pPr>
            <w:r>
              <w:rPr>
                <w:sz w:val="17"/>
                <w:szCs w:val="17"/>
              </w:rPr>
              <w:t xml:space="preserve">Every figure quoted in this report</w:t>
            </w:r>
          </w:p>
        </w:tc>
      </w:tr>
    </w:tbl>
    <w:p>
      <w:pPr>
        <w:spacing w:before="0" w:after="60" w:line="360" w:lineRule="auto"/>
      </w:pPr>
      <w:r>
        <w:t xml:space="preserve"/>
      </w:r>
    </w:p>
    <w:sectPr>
      <w:headerReference w:type="default" r:id="rId8"/>
      <w:footerReference w:type="default" r:id="rId9"/>
      <w:pgSz w:w="12240" w:h="15840"/>
      <w:pgMar w:top="1080" w:right="1123" w:bottom="1080" w:left="1123"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38898" w14:textId="77777777" w:rsidR="00777325" w:rsidRDefault="00777325">
      <w:pPr>
        <w:spacing w:after="0" w:line="240" w:lineRule="auto"/>
      </w:pPr>
      <w:r>
        <w:separator/>
      </w:r>
    </w:p>
  </w:endnote>
  <w:endnote w:type="continuationSeparator" w:id="0">
    <w:p w14:paraId="09D8E732" w14:textId="77777777" w:rsidR="00777325" w:rsidRDefault="007773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r="http://schemas.openxmlformats.org/officeDocument/2006/relationships" xmlns:wp="http://schemas.openxmlformats.org/drawingml/2006/wordprocessingDrawing" xmlns:m="http://schemas.openxmlformats.org/officeDocument/2006/math">
  <w:p>
    <w:pPr>
      <w:pStyle w:val="Footer"/>
      <w:tabs>
        <w:tab w:val="right" w:pos="9639"/>
      </w:tabs>
      <w:spacing w:after="0"/>
    </w:pPr>
    <w:r>
      <w:rPr>
        <w:sz w:val="16"/>
        <w:szCs w:val="16"/>
        <w:color w:val="44546A"/>
      </w:rPr>
      <w:t xml:space="preserve">APPENDIX E – FINAL PROJECT REPORT.docx</w:t>
    </w:r>
    <w:r>
      <w:rPr>
        <w:sz w:val="16"/>
        <w:szCs w:val="16"/>
        <w:color w:val="44546A"/>
      </w:rPr>
      <w:tab/>
      <w:t xml:space="preserve">Page </w:t>
    </w:r>
    <w:r>
      <w:rPr>
        <w:sz w:val="16"/>
        <w:szCs w:val="16"/>
        <w:color w:val="44546A"/>
      </w:rPr>
      <w:fldChar w:fldCharType="begin"/>
    </w:r>
    <w:r>
      <w:rPr>
        <w:sz w:val="16"/>
        <w:szCs w:val="16"/>
        <w:color w:val="44546A"/>
      </w:rPr>
      <w:instrText xml:space="preserve"> PAGE </w:instrText>
    </w:r>
    <w:r>
      <w:rPr>
        <w:sz w:val="16"/>
        <w:szCs w:val="16"/>
        <w:color w:val="44546A"/>
      </w:rPr>
      <w:fldChar w:fldCharType="separate"/>
    </w:r>
    <w:r>
      <w:rPr>
        <w:sz w:val="16"/>
        <w:szCs w:val="16"/>
        <w:color w:val="44546A"/>
      </w:rPr>
      <w:t>1</w:t>
    </w:r>
    <w:r>
      <w:rPr>
        <w:sz w:val="16"/>
        <w:szCs w:val="16"/>
        <w:color w:val="44546A"/>
      </w:rPr>
      <w:fldChar w:fldCharType="end"/>
    </w:r>
    <w:r>
      <w:rPr>
        <w:sz w:val="16"/>
        <w:szCs w:val="16"/>
        <w:color w:val="44546A"/>
      </w:rPr>
      <w:t xml:space="preserve"> of </w:t>
    </w:r>
    <w:r>
      <w:rPr>
        <w:sz w:val="16"/>
        <w:szCs w:val="16"/>
        <w:color w:val="44546A"/>
      </w:rPr>
      <w:fldChar w:fldCharType="begin"/>
    </w:r>
    <w:r>
      <w:rPr>
        <w:sz w:val="16"/>
        <w:szCs w:val="16"/>
        <w:color w:val="44546A"/>
      </w:rPr>
      <w:instrText xml:space="preserve"> NUMPAGES </w:instrText>
    </w:r>
    <w:r>
      <w:rPr>
        <w:sz w:val="16"/>
        <w:szCs w:val="16"/>
        <w:color w:val="44546A"/>
      </w:rPr>
      <w:fldChar w:fldCharType="separate"/>
    </w:r>
    <w:r>
      <w:rPr>
        <w:sz w:val="16"/>
        <w:szCs w:val="16"/>
        <w:color w:val="44546A"/>
      </w:rPr>
      <w:t>1</w:t>
    </w:r>
    <w:r>
      <w:rPr>
        <w:sz w:val="16"/>
        <w:szCs w:val="16"/>
        <w:color w:val="44546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561BD" w14:textId="77777777" w:rsidR="00777325" w:rsidRDefault="00777325">
      <w:pPr>
        <w:spacing w:after="0" w:line="240" w:lineRule="auto"/>
      </w:pPr>
      <w:r>
        <w:separator/>
      </w:r>
    </w:p>
  </w:footnote>
  <w:footnote w:type="continuationSeparator" w:id="0">
    <w:p w14:paraId="4A244F97" w14:textId="77777777" w:rsidR="00777325" w:rsidRDefault="00777325">
      <w:pPr>
        <w:spacing w:after="0" w:line="240" w:lineRule="auto"/>
      </w:pPr>
      <w:r>
        <w:continuation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http://schemas.openxmlformats.org/officeDocument/2006/math">
  <w:p>
    <w:pPr>
      <w:pStyle w:val="Header"/>
      <w:pBdr/>
      <w:spacing w:after="0"/>
    </w:pPr>
    <w:r>
      <w:rPr>
        <w:sz w:val="16"/>
        <w:szCs w:val="16"/>
        <w:color w:val="44546A"/>
      </w:rPr>
      <w:t xml:space="preserve">Customer Intelligence Platform for Fintech — Final Project Report  |  </w:t>
    </w:r>
    <w:r>
      <w:rPr>
        <w:sz w:val="16"/>
        <w:szCs w:val="16"/>
        <w:color w:val="44546A"/>
      </w:rPr>
      <w:fldChar w:fldCharType="begin"/>
    </w:r>
    <w:r>
      <w:rPr>
        <w:sz w:val="16"/>
        <w:szCs w:val="16"/>
        <w:color w:val="44546A"/>
      </w:rPr>
      <w:instrText xml:space="preserve"> STYLEREF "Heading 1" \* MERGEFORMAT </w:instrText>
    </w:r>
    <w:r>
      <w:rPr>
        <w:sz w:val="16"/>
        <w:szCs w:val="16"/>
        <w:color w:val="44546A"/>
      </w:rPr>
      <w:fldChar w:fldCharType="separate"/>
    </w:r>
    <w:r>
      <w:rPr>
        <w:sz w:val="16"/>
        <w:szCs w:val="16"/>
        <w:color w:val="44546A"/>
      </w:rPr>
      <w:t>Chapter</w:t>
    </w:r>
    <w:r>
      <w:rPr>
        <w:sz w:val="16"/>
        <w:szCs w:val="16"/>
        <w:color w:val="44546A"/>
      </w:rPr>
      <w:fldChar w:fldCharType="end"/>
    </w:r>
  </w:p>
  <w:p>
    <w:pPr>
      <w:pStyle w:val="Header"/>
      <w:pBdr>
        <w:bottom w:val="single" w:sz="4" w:space="1" w:color="14375A"/>
      </w:pBdr>
      <w:spacing w:after="0"/>
    </w:pPr>
    <w:r>
      <w:rPr>
        <w:sz w:val="16"/>
        <w:szCs w:val="16"/>
        <w:color w:val="44546A"/>
      </w:rPr>
      <w:t xml:space="preserve">Clifton Chen Yi  |  APPENDIX E – FINAL PROJECT REPORT.docx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0100289">
    <w:abstractNumId w:val="8"/>
  </w:num>
  <w:num w:numId="2" w16cid:durableId="40983220">
    <w:abstractNumId w:val="6"/>
  </w:num>
  <w:num w:numId="3" w16cid:durableId="480001318">
    <w:abstractNumId w:val="5"/>
  </w:num>
  <w:num w:numId="4" w16cid:durableId="1359888052">
    <w:abstractNumId w:val="4"/>
  </w:num>
  <w:num w:numId="5" w16cid:durableId="1016421511">
    <w:abstractNumId w:val="7"/>
  </w:num>
  <w:num w:numId="6" w16cid:durableId="483007644">
    <w:abstractNumId w:val="3"/>
  </w:num>
  <w:num w:numId="7" w16cid:durableId="1260214822">
    <w:abstractNumId w:val="2"/>
  </w:num>
  <w:num w:numId="8" w16cid:durableId="1609510351">
    <w:abstractNumId w:val="1"/>
  </w:num>
  <w:num w:numId="9" w16cid:durableId="815224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updateFields w:val="tru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778"/>
    <w:rsid w:val="0015074B"/>
    <w:rsid w:val="00155CE2"/>
    <w:rsid w:val="0029639D"/>
    <w:rsid w:val="00326F90"/>
    <w:rsid w:val="004E196B"/>
    <w:rsid w:val="00777325"/>
    <w:rsid w:val="009D586D"/>
    <w:rsid w:val="00A31ABD"/>
    <w:rsid w:val="00AA1D8D"/>
    <w:rsid w:val="00B47730"/>
    <w:rsid w:val="00B91BC0"/>
    <w:rsid w:val="00BA596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2F1986"/>
  <w14:defaultImageDpi w14:val="300"/>
  <w15:docId w15:val="{E786CEDD-9A39-479F-90ED-72F903A8E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b/>
      <w:bCs/>
      <w:color w:val="14375A"/>
      <w:sz w:val="34"/>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b/>
      <w:bCs/>
      <w:color w:val="195F87"/>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b/>
      <w:bCs/>
      <w:color w:val="3737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375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9</Pages>
  <Words>3508</Words>
  <Characters>20000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E – FINAL PROJECT REPORT</dc:title>
  <dc:subject/>
  <dc:creator>Arturo Luna</dc:creator>
  <cp:keywords/>
  <dc:description>generated by python-docx</dc:description>
  <cp:lastModifiedBy>Clifton Chen</cp:lastModifiedBy>
  <cp:revision>6</cp:revision>
  <cp:lastPrinted>2026-07-19T14:11:00Z</cp:lastPrinted>
  <dcterms:created xsi:type="dcterms:W3CDTF">2026-07-19T14:07:00Z</dcterms:created>
  <dcterms:modified xsi:type="dcterms:W3CDTF">2026-07-19T14:14:00Z</dcterms:modified>
  <cp:category/>
</cp:coreProperties>
</file>