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body>
    <w:p>
      <w:pPr>
        <w:pStyle w:val="Heading1"/>
        <w:spacing w:before="200" w:after="120" w:line="360" w:lineRule="auto"/>
        <w:keepNext/>
      </w:pPr>
      <w:r>
        <w:t xml:space="preserve">Appendix G – Final Presentation Plan &amp; Quality Checklist</w:t>
      </w:r>
    </w:p>
    <w:p>
      <w:pPr>
        <w:spacing w:before="0" w:after="120" w:line="360" w:lineRule="auto"/>
      </w:pPr>
      <w:r>
        <w:t xml:space="preserve">The final presentation carries 30% (group integration 10%, individual 20%). This document turns the project guide's quality checklist into a rehearsal checklist, and sets out the slide plan for Member A's segment.</w:t>
      </w:r>
    </w:p>
    <w:p>
      <w:pPr>
        <w:pStyle w:val="Heading2"/>
        <w:spacing w:before="200" w:after="120" w:line="360" w:lineRule="auto"/>
        <w:keepNext/>
      </w:pPr>
      <w:r>
        <w:t xml:space="preserve">1. Slide plan — Member A (retention)</w:t>
      </w:r>
    </w:p>
    <w:p>
      <w:pPr>
        <w:spacing w:before="0" w:after="120" w:line="360" w:lineRule="auto"/>
      </w:pPr>
      <w:r>
        <w:t xml:space="preserve">The individual 20% is assessed on iteration (5), implementation (10) and communication (5). Each slide below is mapped to the criterion it provides evidence for, so nothing assessed is left to chance.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0"/>
        <w:gridCol w:w="2200"/>
        <w:gridCol w:w="5284"/>
        <w:gridCol w:w="2000"/>
      </w:tblGrid>
      <w:tr>
        <w:trPr>
          <w:jc w:val="center"/>
          <w:tblHeader/>
        </w:trPr>
        <w:tc>
          <w:tcPr>
            <w:tcW w:w="5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#</w:t>
            </w:r>
          </w:p>
        </w:tc>
        <w:tc>
          <w:tcPr>
            <w:tcW w:w="22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Slide</w:t>
            </w:r>
          </w:p>
        </w:tc>
        <w:tc>
          <w:tcPr>
            <w:tcW w:w="5284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Content</w:t>
            </w:r>
          </w:p>
        </w:tc>
        <w:tc>
          <w:tcPr>
            <w:tcW w:w="20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Evidence for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The decision, not the model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One sentence: which previously-active customers will go quiet in the next 60 days, and which of those are worth contacting.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Communication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Stakeholder feedback → design change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María Rodríguez's constraint, and the three concrete changes it caused (priority view, capacity control, recall emphasis).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Iteration (5)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Data &amp; the 4 Vs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48,723 customers joined to 3.16M transactions; volume, variety (profile + ledger + free-text complaints), veracity (the Set B reconciliation failure), velocity (daily batch).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Implementation (10)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Leakage-safe design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The four-cutoff panel; the test outcome window closing exactly on the last ledger day; the excluded-column list and why.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Implementation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Baselines first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Majority class and the tuned recency rule, then the four models against them.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Implementation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Does the model earn its complexity?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Scoreboard: recall, precision, PR-AUC, top-10%/20% recall on the held-out cutoff.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Implementation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The hypothesis, answered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Feature-family ablation: trend/rhythm vs. static profile vs. full model.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Implementation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What it means operationally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Capacity curve: recall and precision at 10/20/30% outreach; the risk × value priority cell.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Communication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Honest limits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Untimestamped snapshot fields, recency's mechanical link to the target, one year of data, inactivity ≠ attrition, association ≠ causation.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Communication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Scalability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25/50/75/100% timings, stage breakdown, Spark comparison, and the bottleneck.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Implementation</w:t>
            </w:r>
          </w:p>
        </w:tc>
      </w:tr>
      <w:tr>
        <w:trPr>
          <w:jc w:val="center"/>
        </w:trPr>
        <w:tc>
          <w:tcPr>
            <w:tcW w:w="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Recommendation &amp; next step</w:t>
            </w:r>
          </w:p>
        </w:tc>
        <w:tc>
          <w:tcPr>
            <w:tcW w:w="52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Event-triggered outreach on the priority cell, plus a holdout experiment to test whether contact actually changes behaviour.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Communication</w:t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spacing w:before="0" w:after="120" w:line="360" w:lineRule="auto"/>
      </w:pPr>
      <w:r>
        <w:rPr>
          <w:b/>
        </w:rPr>
        <w:t xml:space="preserve">Q&amp;A preparation.</w:t>
      </w:r>
      <w:r>
        <w:t xml:space="preserve"> The three questions most likely to be asked, and the honest answer to each: </w:t>
      </w:r>
      <w:r>
        <w:rPr>
          <w:i/>
        </w:rPr>
        <w:t xml:space="preserve">Is recency just the label in disguise?</w:t>
      </w:r>
      <w:r>
        <w:t xml:space="preserve"> — partly, which is why the recency rule is a baseline and not a feature to be proud of. </w:t>
      </w:r>
      <w:r>
        <w:rPr>
          <w:i/>
        </w:rPr>
        <w:t xml:space="preserve">Why not SMOTE?</w:t>
      </w:r>
      <w:r>
        <w:t xml:space="preserve"> — the panel repeats customers across cutoffs, so synthetic rows would interpolate between the same person at two points in time; class weights keep probabilities interpretable. </w:t>
      </w:r>
      <w:r>
        <w:rPr>
          <w:i/>
        </w:rPr>
        <w:t xml:space="preserve">Would this work next year?</w:t>
      </w:r>
      <w:r>
        <w:t xml:space="preserve"> — unknown; one calendar year cannot separate a year-end effect from model quality.</w:t>
      </w:r>
    </w:p>
    <w:p>
      <w:pPr>
        <w:spacing w:after="0"/>
      </w:pPr>
      <w:r>
        <w:br w:type="page"/>
      </w:r>
    </w:p>
    <w:p>
      <w:pPr>
        <w:pStyle w:val="Heading2"/>
        <w:spacing w:before="200" w:after="120" w:line="360" w:lineRule="auto"/>
        <w:keepNext/>
      </w:pPr>
      <w:r>
        <w:t xml:space="preserve">2. Quality checklist for the final presentation</w:t>
      </w:r>
    </w:p>
    <w:p>
      <w:pPr>
        <w:spacing w:before="0" w:after="120" w:line="360" w:lineRule="auto"/>
      </w:pPr>
      <w:r>
        <w:rPr>
          <w:sz w:val="20"/>
          <w:szCs w:val="20"/>
        </w:rPr>
        <w:t xml:space="preserve">Worked through in the week 17 rehearsal, then again before delivery.</w:t>
      </w:r>
    </w:p>
    <w:p>
      <w:pPr>
        <w:spacing w:before="0" w:after="120" w:line="360" w:lineRule="auto"/>
      </w:pPr>
      <w:r>
        <w:rPr>
          <w:b/>
        </w:rPr>
        <w:t xml:space="preserve">Delivery — presentation materials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6184"/>
        <w:gridCol w:w="1200"/>
      </w:tblGrid>
      <w:tr>
        <w:trPr>
          <w:jc w:val="center"/>
          <w:tblHeader/>
        </w:trPr>
        <w:tc>
          <w:tcPr>
            <w:tcW w:w="2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Attribute</w:t>
            </w:r>
          </w:p>
        </w:tc>
        <w:tc>
          <w:tcPr>
            <w:tcW w:w="6184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What good looks like here</w:t>
            </w:r>
          </w:p>
        </w:tc>
        <w:tc>
          <w:tcPr>
            <w:tcW w:w="12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Checked</w:t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Content — quality of information, well organised, logical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Each slide answers one question and leads to the next; results are always paired with the baseline they beat.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Vocal — clear and audible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Rehearsed at presentation volume; numbers spoken slowly ('point seven two', not 'zero point seven two').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Visual — effective use of visual aid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One chart per slide, axis labels readable from the back, consistent colour meaning (red = risk) across all four workstreams.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Verbal — standard of English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No unexplained jargon; PR-AUC and top-k recall defined the first time they appear.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Impact — convincing and lasting impression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Opens and closes on the decision, not the algorithm.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spacing w:before="0" w:after="120" w:line="360" w:lineRule="auto"/>
      </w:pPr>
      <w:r>
        <w:rPr>
          <w:b/>
        </w:rPr>
        <w:t xml:space="preserve">Delivery — quality of presentation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6184"/>
        <w:gridCol w:w="1200"/>
      </w:tblGrid>
      <w:tr>
        <w:trPr>
          <w:jc w:val="center"/>
          <w:tblHeader/>
        </w:trPr>
        <w:tc>
          <w:tcPr>
            <w:tcW w:w="2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Attribute</w:t>
            </w:r>
          </w:p>
        </w:tc>
        <w:tc>
          <w:tcPr>
            <w:tcW w:w="6184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Check</w:t>
            </w:r>
          </w:p>
        </w:tc>
        <w:tc>
          <w:tcPr>
            <w:tcW w:w="12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Checked</w:t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Attire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Smart casual, no torn tops, per the dress code in the project guide.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Eye contact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Address the panel, not the slides or the laptop.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Body language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Stable posture; no pacing; hands away from face.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Confidence &amp; enthusiasm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Know the three headline numbers without reading them off the slide.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Time management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Rehearsed to the allotted time with a 10% margin; slide 9 is the one to compress if running late, never slide 6.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spacing w:before="0" w:after="120" w:line="360" w:lineRule="auto"/>
      </w:pPr>
      <w:r>
        <w:rPr>
          <w:b/>
        </w:rPr>
        <w:t xml:space="preserve">Q &amp;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6184"/>
        <w:gridCol w:w="1200"/>
      </w:tblGrid>
      <w:tr>
        <w:trPr>
          <w:jc w:val="center"/>
          <w:tblHeader/>
        </w:trPr>
        <w:tc>
          <w:tcPr>
            <w:tcW w:w="2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Attribute</w:t>
            </w:r>
          </w:p>
        </w:tc>
        <w:tc>
          <w:tcPr>
            <w:tcW w:w="6184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Check</w:t>
            </w:r>
          </w:p>
        </w:tc>
        <w:tc>
          <w:tcPr>
            <w:tcW w:w="12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Checked</w:t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Ability to understand &amp; respond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Restate the question before answering; ask for clarification rather than guessing.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Quality of response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Answer from the measured evidence; say 'we did not test that' when true.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Level of confidence</w:t>
            </w:r>
          </w:p>
        </w:tc>
        <w:tc>
          <w:tcPr>
            <w:tcW w:w="61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Limitations stated as deliberate scope decisions, not apologies.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pStyle w:val="Heading2"/>
        <w:spacing w:before="200" w:after="120" w:line="360" w:lineRule="auto"/>
        <w:keepNext/>
      </w:pPr>
      <w:r>
        <w:t xml:space="preserve">3. Group integration check (10%)</w:t>
      </w:r>
    </w:p>
    <w:p>
      <w:pPr>
        <w:spacing w:before="0" w:after="120" w:line="360" w:lineRule="auto"/>
      </w:pPr>
      <w:r>
        <w:t xml:space="preserve">The group mark depends on all four notebooks being integrated and functional. Verified in week 17:</w:t>
      </w:r>
    </w:p>
    <w:p>
      <w:pPr>
        <w:pStyle w:val="ListBullet"/>
        <w:spacing w:before="0" w:after="60" w:line="360" w:lineRule="auto"/>
      </w:pPr>
      <w:r>
        <w:t xml:space="preserve">All four notebooks run top-to-bottom from a clean kernel against the same source files.</w:t>
      </w:r>
    </w:p>
    <w:p>
      <w:pPr>
        <w:pStyle w:val="ListBullet"/>
        <w:spacing w:before="0" w:after="60" w:line="360" w:lineRule="auto"/>
      </w:pPr>
      <w:r>
        <w:t xml:space="preserve">All four use the shared preprocessing contract: the same deduplication rule, the same excluded columns, the same (customer, cutoff) key convention.</w:t>
      </w:r>
    </w:p>
    <w:p>
      <w:pPr>
        <w:pStyle w:val="ListBullet"/>
        <w:spacing w:before="0" w:after="60" w:line="360" w:lineRule="auto"/>
      </w:pPr>
      <w:r>
        <w:t xml:space="preserve">Member B's predicted 90-day value is joined into Member A's retention-priority view — the one genuine cross-workstream dependency.</w:t>
      </w:r>
    </w:p>
    <w:p>
      <w:pPr>
        <w:pStyle w:val="ListBullet"/>
        <w:spacing w:before="0" w:after="60" w:line="360" w:lineRule="auto"/>
      </w:pPr>
      <w:r>
        <w:t xml:space="preserve">All four write scored outputs to the same analytical layer, and the dashboard reads only from that layer.</w:t>
      </w:r>
    </w:p>
    <w:p>
      <w:pPr>
        <w:pStyle w:val="ListBullet"/>
        <w:spacing w:before="0" w:after="60" w:line="360" w:lineRule="auto"/>
      </w:pPr>
      <w:r>
        <w:t xml:space="preserve">One landing page summarises all four workstreams; each member has a dedicated page.</w:t>
      </w:r>
    </w:p>
    <w:sectPr>
      <w:headerReference w:type="default" r:id="rId8"/>
      <w:footerReference w:type="default" r:id="rId9"/>
      <w:pgSz w:w="12240" w:h="15840"/>
      <w:pgMar w:top="1080" w:right="1123" w:bottom="1080" w:left="1123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8898" w14:textId="77777777" w:rsidR="00777325" w:rsidRDefault="00777325">
      <w:pPr>
        <w:spacing w:after="0" w:line="240" w:lineRule="auto"/>
      </w:pPr>
      <w:r>
        <w:separator/>
      </w:r>
    </w:p>
  </w:endnote>
  <w:endnote w:type="continuationSeparator" w:id="0">
    <w:p w14:paraId="09D8E732" w14:textId="77777777" w:rsidR="00777325" w:rsidRDefault="00777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p>
    <w:pPr>
      <w:pStyle w:val="Footer"/>
      <w:tabs>
        <w:tab w:val="right" w:pos="9639"/>
      </w:tabs>
      <w:spacing w:after="0"/>
    </w:pPr>
    <w:r>
      <w:rPr>
        <w:sz w:val="16"/>
        <w:szCs w:val="16"/>
        <w:color w:val="44546A"/>
      </w:rPr>
      <w:t xml:space="preserve">IT3388 Group 2 — FinSight Colombia</w:t>
    </w:r>
    <w:r>
      <w:rPr>
        <w:sz w:val="16"/>
        <w:szCs w:val="16"/>
        <w:color w:val="44546A"/>
      </w:rPr>
      <w:tab/>
      <w:t xml:space="preserve">Page </w:t>
    </w:r>
    <w:r>
      <w:rPr>
        <w:sz w:val="16"/>
        <w:szCs w:val="16"/>
        <w:color w:val="44546A"/>
      </w:rPr>
      <w:fldChar w:fldCharType="begin"/>
    </w:r>
    <w:r>
      <w:rPr>
        <w:sz w:val="16"/>
        <w:szCs w:val="16"/>
        <w:color w:val="44546A"/>
      </w:rPr>
      <w:instrText xml:space="preserve"> PAGE </w:instrText>
    </w:r>
    <w:r>
      <w:rPr>
        <w:sz w:val="16"/>
        <w:szCs w:val="16"/>
        <w:color w:val="44546A"/>
      </w:rPr>
      <w:fldChar w:fldCharType="separate"/>
    </w:r>
    <w:r>
      <w:rPr>
        <w:sz w:val="16"/>
        <w:szCs w:val="16"/>
        <w:color w:val="44546A"/>
      </w:rPr>
      <w:t>1</w:t>
    </w:r>
    <w:r>
      <w:rPr>
        <w:sz w:val="16"/>
        <w:szCs w:val="16"/>
        <w:color w:val="44546A"/>
      </w:rPr>
      <w:fldChar w:fldCharType="end"/>
    </w:r>
    <w:r>
      <w:rPr>
        <w:sz w:val="16"/>
        <w:szCs w:val="16"/>
        <w:color w:val="44546A"/>
      </w:rPr>
      <w:t xml:space="preserve"> of </w:t>
    </w:r>
    <w:r>
      <w:rPr>
        <w:sz w:val="16"/>
        <w:szCs w:val="16"/>
        <w:color w:val="44546A"/>
      </w:rPr>
      <w:fldChar w:fldCharType="begin"/>
    </w:r>
    <w:r>
      <w:rPr>
        <w:sz w:val="16"/>
        <w:szCs w:val="16"/>
        <w:color w:val="44546A"/>
      </w:rPr>
      <w:instrText xml:space="preserve"> NUMPAGES </w:instrText>
    </w:r>
    <w:r>
      <w:rPr>
        <w:sz w:val="16"/>
        <w:szCs w:val="16"/>
        <w:color w:val="44546A"/>
      </w:rPr>
      <w:fldChar w:fldCharType="separate"/>
    </w:r>
    <w:r>
      <w:rPr>
        <w:sz w:val="16"/>
        <w:szCs w:val="16"/>
        <w:color w:val="44546A"/>
      </w:rPr>
      <w:t>1</w:t>
    </w:r>
    <w:r>
      <w:rPr>
        <w:sz w:val="16"/>
        <w:szCs w:val="16"/>
        <w:color w:val="44546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61BD" w14:textId="77777777" w:rsidR="00777325" w:rsidRDefault="00777325">
      <w:pPr>
        <w:spacing w:after="0" w:line="240" w:lineRule="auto"/>
      </w:pPr>
      <w:r>
        <w:separator/>
      </w:r>
    </w:p>
  </w:footnote>
  <w:footnote w:type="continuationSeparator" w:id="0">
    <w:p w14:paraId="4A244F97" w14:textId="77777777" w:rsidR="00777325" w:rsidRDefault="00777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p>
    <w:pPr>
      <w:pStyle w:val="Header"/>
      <w:pBdr/>
      <w:spacing w:after="0"/>
    </w:pPr>
    <w:r>
      <w:rPr>
        <w:sz w:val="16"/>
        <w:szCs w:val="16"/>
        <w:color w:val="44546A"/>
      </w:rPr>
      <w:t xml:space="preserve">Customer Intelligence Platform for Fintech — Appendix G: Final Presentation Plan &amp; Checklist</w:t>
    </w:r>
  </w:p>
  <w:p>
    <w:pPr>
      <w:pStyle w:val="Header"/>
      <w:pBdr>
        <w:bottom w:val="single" w:sz="4" w:space="1" w:color="14375A"/>
      </w:pBdr>
      <w:spacing w:after="0"/>
    </w:pPr>
    <w:r>
      <w:rPr>
        <w:sz w:val="16"/>
        <w:szCs w:val="16"/>
        <w:color w:val="44546A"/>
      </w:rPr>
      <w:t xml:space="preserve">APPENDIX G – FINAL PRESENTATION CHECKLIST.docx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100289">
    <w:abstractNumId w:val="8"/>
  </w:num>
  <w:num w:numId="2" w16cid:durableId="40983220">
    <w:abstractNumId w:val="6"/>
  </w:num>
  <w:num w:numId="3" w16cid:durableId="480001318">
    <w:abstractNumId w:val="5"/>
  </w:num>
  <w:num w:numId="4" w16cid:durableId="1359888052">
    <w:abstractNumId w:val="4"/>
  </w:num>
  <w:num w:numId="5" w16cid:durableId="1016421511">
    <w:abstractNumId w:val="7"/>
  </w:num>
  <w:num w:numId="6" w16cid:durableId="483007644">
    <w:abstractNumId w:val="3"/>
  </w:num>
  <w:num w:numId="7" w16cid:durableId="1260214822">
    <w:abstractNumId w:val="2"/>
  </w:num>
  <w:num w:numId="8" w16cid:durableId="1609510351">
    <w:abstractNumId w:val="1"/>
  </w:num>
  <w:num w:numId="9" w16cid:durableId="81522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778"/>
    <w:rsid w:val="0015074B"/>
    <w:rsid w:val="00155CE2"/>
    <w:rsid w:val="0029639D"/>
    <w:rsid w:val="00326F90"/>
    <w:rsid w:val="004E196B"/>
    <w:rsid w:val="00777325"/>
    <w:rsid w:val="009D586D"/>
    <w:rsid w:val="00A31ABD"/>
    <w:rsid w:val="00AA1D8D"/>
    <w:rsid w:val="00B47730"/>
    <w:rsid w:val="00B91BC0"/>
    <w:rsid w:val="00BA59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F1986"/>
  <w14:defaultImageDpi w14:val="300"/>
  <w15:docId w15:val="{E786CEDD-9A39-479F-90ED-72F903A8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1437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95F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3508</Words>
  <Characters>20000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G – FINAL PRESENTATION CHECKLIST</dc:title>
  <dc:subject/>
  <dc:creator>Arturo Luna</dc:creator>
  <cp:keywords/>
  <dc:description>generated by python-docx</dc:description>
  <cp:lastModifiedBy>Clifton Chen</cp:lastModifiedBy>
  <cp:revision>6</cp:revision>
  <cp:lastPrinted>2026-07-19T14:11:00Z</cp:lastPrinted>
  <dcterms:created xsi:type="dcterms:W3CDTF">2026-07-19T14:07:00Z</dcterms:created>
  <dcterms:modified xsi:type="dcterms:W3CDTF">2026-07-19T14:14:00Z</dcterms:modified>
  <cp:category/>
</cp:coreProperties>
</file>