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35kV 及以下电网设备验收技术要求</w:t>
      </w:r>
    </w:p>
    <w:p>
      <w:r>
        <w:rPr>
          <w:i/>
        </w:rPr>
        <w:t>适用于配电变压器、开关柜、电缆、避雷器、计量装置等设备的新装、改造、移交验收。</w:t>
      </w:r>
    </w:p>
    <w:p>
      <w:pPr>
        <w:pStyle w:val="Heading1"/>
      </w:pPr>
      <w:r>
        <w:t>第一章 文档资料验收</w:t>
      </w:r>
    </w:p>
    <w:p>
      <w:pPr>
        <w:pStyle w:val="ListBullet"/>
      </w:pPr>
      <w:r>
        <w:t>出厂资料：型式试验报告、质量证明书、产品说明书、合格证</w:t>
      </w:r>
    </w:p>
    <w:p>
      <w:pPr>
        <w:pStyle w:val="ListBullet"/>
      </w:pPr>
      <w:r>
        <w:t>安装资料：安装记录、调试记录、隐蔽工程记录</w:t>
      </w:r>
    </w:p>
    <w:p>
      <w:pPr>
        <w:pStyle w:val="ListBullet"/>
      </w:pPr>
      <w:r>
        <w:t>试验资料：交接试验报告（按 GB 50150-2016 标准）</w:t>
      </w:r>
    </w:p>
    <w:p>
      <w:pPr>
        <w:pStyle w:val="ListBullet"/>
      </w:pPr>
      <w:r>
        <w:t>图纸资料：竣工图、二次接线图、定值清单</w:t>
      </w:r>
    </w:p>
    <w:p>
      <w:pPr>
        <w:pStyle w:val="Heading1"/>
      </w:pPr>
      <w:r>
        <w:t>第二章 外观验收</w:t>
      </w:r>
    </w:p>
    <w:p>
      <w:r>
        <w:t>2.1 配电变压器（油浸式）</w:t>
      </w:r>
    </w:p>
    <w:p>
      <w:pPr>
        <w:pStyle w:val="ListBullet"/>
      </w:pPr>
      <w:r>
        <w:t>本体无渗漏、油位正常</w:t>
      </w:r>
    </w:p>
    <w:p>
      <w:pPr>
        <w:pStyle w:val="ListBullet"/>
      </w:pPr>
      <w:r>
        <w:t>套管表面清洁，无破损、放电痕迹</w:t>
      </w:r>
    </w:p>
    <w:p>
      <w:pPr>
        <w:pStyle w:val="ListBullet"/>
      </w:pPr>
      <w:r>
        <w:t>冷却风扇运转正常，温升不超过 65℃</w:t>
      </w:r>
    </w:p>
    <w:p>
      <w:pPr>
        <w:pStyle w:val="ListBullet"/>
      </w:pPr>
      <w:r>
        <w:t>气体继电器、压力释放阀完好</w:t>
      </w:r>
    </w:p>
    <w:p>
      <w:r>
        <w:t>2.2 开关柜（金属铠装）</w:t>
      </w:r>
    </w:p>
    <w:p>
      <w:pPr>
        <w:pStyle w:val="ListBullet"/>
      </w:pPr>
      <w:r>
        <w:t>柜体接地可靠（接地电阻 ≤ 0.1Ω）</w:t>
      </w:r>
    </w:p>
    <w:p>
      <w:pPr>
        <w:pStyle w:val="ListBullet"/>
      </w:pPr>
      <w:r>
        <w:t>断路器分合指示正确，五防联锁有效</w:t>
      </w:r>
    </w:p>
    <w:p>
      <w:pPr>
        <w:pStyle w:val="ListBullet"/>
      </w:pPr>
      <w:r>
        <w:t>观察窗清晰，照明正常</w:t>
      </w:r>
    </w:p>
    <w:p>
      <w:pPr>
        <w:pStyle w:val="ListBullet"/>
      </w:pPr>
      <w:r>
        <w:t>电缆室无积水、无小动物入侵痕迹</w:t>
      </w:r>
    </w:p>
    <w:p>
      <w:pPr>
        <w:pStyle w:val="Heading1"/>
      </w:pPr>
      <w:r>
        <w:t>第三章 电气试验验收</w:t>
      </w:r>
    </w:p>
    <w:p>
      <w:r>
        <w:t>依据 DL/T 596-2021《电力设备预防性试验规程》：</w:t>
      </w:r>
    </w:p>
    <w:p>
      <w:pPr>
        <w:pStyle w:val="ListBullet"/>
      </w:pPr>
      <w:r>
        <w:t>主变绝缘电阻：使用 2500V 兆欧表，吸收比 ≥ 1.3</w:t>
      </w:r>
    </w:p>
    <w:p>
      <w:pPr>
        <w:pStyle w:val="ListBullet"/>
      </w:pPr>
      <w:r>
        <w:t>主变变比：误差不超过 ±0.5%</w:t>
      </w:r>
    </w:p>
    <w:p>
      <w:pPr>
        <w:pStyle w:val="ListBullet"/>
      </w:pPr>
      <w:r>
        <w:t>断路器接触电阻：≤ 制造厂出厂值 1.2 倍</w:t>
      </w:r>
    </w:p>
    <w:p>
      <w:pPr>
        <w:pStyle w:val="ListBullet"/>
      </w:pPr>
      <w:r>
        <w:t>电缆耐压：交流 2Un，5 分钟无击穿</w:t>
      </w:r>
    </w:p>
    <w:p>
      <w:pPr>
        <w:pStyle w:val="ListBullet"/>
      </w:pPr>
      <w:r>
        <w:t>避雷器直流试验：1mA 下电压不低于额定值</w:t>
      </w:r>
    </w:p>
    <w:p>
      <w:pPr>
        <w:pStyle w:val="Heading1"/>
      </w:pPr>
      <w:r>
        <w:t>第四章 投运前检查</w:t>
      </w:r>
    </w:p>
    <w:p>
      <w:r>
        <w:t>确认下列条件后方可投运：</w:t>
      </w:r>
    </w:p>
    <w:p>
      <w:pPr>
        <w:pStyle w:val="ListBullet"/>
      </w:pPr>
      <w:r>
        <w:t>工作票完结，临时安全措施全部拆除</w:t>
      </w:r>
    </w:p>
    <w:p>
      <w:pPr>
        <w:pStyle w:val="ListBullet"/>
      </w:pPr>
      <w:r>
        <w:t>保护装置投入正确，定值核对无误</w:t>
      </w:r>
    </w:p>
    <w:p>
      <w:pPr>
        <w:pStyle w:val="ListBullet"/>
      </w:pPr>
      <w:r>
        <w:t>相位、相序与系统一致</w:t>
      </w:r>
    </w:p>
    <w:p>
      <w:pPr>
        <w:pStyle w:val="ListBullet"/>
      </w:pPr>
      <w:r>
        <w:t>负荷开关实际位置与监控系统遥信一致</w:t>
      </w:r>
    </w:p>
    <w:p>
      <w:pPr>
        <w:pStyle w:val="ListBullet"/>
      </w:pPr>
      <w:r>
        <w:t>操作人员到位，应急预案就绪</w:t>
      </w:r>
    </w:p>
    <w:p>
      <w:pPr>
        <w:pStyle w:val="Heading1"/>
      </w:pPr>
      <w:r>
        <w:t>第五章 验收不合格处理</w:t>
      </w:r>
    </w:p>
    <w:p>
      <w:r>
        <w:t>对验收中发现的问题，按缺陷等级分类：</w:t>
      </w:r>
    </w:p>
    <w:p>
      <w:pPr>
        <w:pStyle w:val="ListNumber"/>
      </w:pPr>
      <w:r>
        <w:t>紧急缺陷：立即整改，整改前不得投运</w:t>
      </w:r>
    </w:p>
    <w:p>
      <w:pPr>
        <w:pStyle w:val="ListNumber"/>
      </w:pPr>
      <w:r>
        <w:t>重大缺陷：限期 7 日内整改</w:t>
      </w:r>
    </w:p>
    <w:p>
      <w:pPr>
        <w:pStyle w:val="ListNumber"/>
      </w:pPr>
      <w:r>
        <w:t>一般缺陷：纳入下次运维计划，30 日内消缺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