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华能石化有限公司</w:t>
      </w:r>
    </w:p>
    <w:p>
      <w:pPr>
        <w:jc w:val="center"/>
      </w:pPr>
      <w:r>
        <w:rPr>
          <w:b/>
          <w:sz w:val="32"/>
        </w:rPr>
        <w:t>危化品仓储安全管理规定</w:t>
      </w:r>
    </w:p>
    <w:p>
      <w:r>
        <w:rPr>
          <w:b w:val="0"/>
        </w:rPr>
        <w:t>文件编号：HN-WL-016-2025</w:t>
        <w:br/>
      </w:r>
      <w:r>
        <w:t>编制部门：物流管理部</w:t>
        <w:br/>
      </w:r>
      <w:r>
        <w:t>编制人：仓储管理科科长 王建华</w:t>
        <w:br/>
      </w:r>
      <w:r>
        <w:t>审批人：总经理 李明远</w:t>
        <w:br/>
      </w:r>
      <w:r>
        <w:t>发布日期：2025年02月20日</w:t>
        <w:br/>
      </w:r>
      <w:r>
        <w:t>实施日期：2025年03月15日</w:t>
      </w:r>
    </w:p>
    <w:p>
      <w:pPr>
        <w:pStyle w:val="Heading1"/>
      </w:pPr>
      <w:r>
        <w:t>第一章 总则</w:t>
      </w:r>
    </w:p>
    <w:p>
      <w:r>
        <w:t>第一条 为加强公司危险化学品仓储安全管理，预防仓储环节发生火灾、爆炸、泄漏、中毒等事故，根据《危险化学品安全管理条例》、GB 15603-2022《常用危险化学品储存通则》、GB 17914-2013《易燃易爆性商品储存养护技术条件》及《山东省危险化学品安全管理办法》，结合公司实际制定本规定。</w:t>
      </w:r>
    </w:p>
    <w:p>
      <w:r>
        <w:t>第二条 本规定适用于公司原料库区、成品库区、中间罐区及化学试剂库的危险化学品储存管理。公司现有储罐区占地180亩，包括原油储罐8座（单罐容积10万立方米）、成品油储罐24座、液化气球罐4座、化工品储罐36座。</w:t>
      </w:r>
    </w:p>
    <w:p>
      <w:pPr>
        <w:pStyle w:val="Heading1"/>
      </w:pPr>
      <w:r>
        <w:t>第二章 储存分类</w:t>
      </w:r>
    </w:p>
    <w:p>
      <w:r>
        <w:t>第三条 危险化学品按储存方式分为三类：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储存类别</w:t>
            </w:r>
          </w:p>
        </w:tc>
        <w:tc>
          <w:tcPr>
            <w:tcW w:type="dxa" w:w="2160"/>
          </w:tcPr>
          <w:p>
            <w:r>
              <w:t>适用品类</w:t>
            </w:r>
          </w:p>
        </w:tc>
        <w:tc>
          <w:tcPr>
            <w:tcW w:type="dxa" w:w="2160"/>
          </w:tcPr>
          <w:p>
            <w:r>
              <w:t>储存条件</w:t>
            </w:r>
          </w:p>
        </w:tc>
        <w:tc>
          <w:tcPr>
            <w:tcW w:type="dxa" w:w="2160"/>
          </w:tcPr>
          <w:p>
            <w:r>
              <w:t>安全间距</w:t>
            </w:r>
          </w:p>
        </w:tc>
      </w:tr>
      <w:tr>
        <w:tc>
          <w:tcPr>
            <w:tcW w:type="dxa" w:w="2160"/>
          </w:tcPr>
          <w:p>
            <w:r>
              <w:t>甲类仓库</w:t>
            </w:r>
          </w:p>
        </w:tc>
        <w:tc>
          <w:tcPr>
            <w:tcW w:type="dxa" w:w="2160"/>
          </w:tcPr>
          <w:p>
            <w:r>
              <w:t>液化石油气、汽油、石脑油、苯</w:t>
            </w:r>
          </w:p>
        </w:tc>
        <w:tc>
          <w:tcPr>
            <w:tcW w:type="dxa" w:w="2160"/>
          </w:tcPr>
          <w:p>
            <w:r>
              <w:t>防爆电气、机械通风、可燃气体报警</w:t>
            </w:r>
          </w:p>
        </w:tc>
        <w:tc>
          <w:tcPr>
            <w:tcW w:type="dxa" w:w="2160"/>
          </w:tcPr>
          <w:p>
            <w:r>
              <w:t>距办公区≥50m</w:t>
            </w:r>
          </w:p>
        </w:tc>
      </w:tr>
      <w:tr>
        <w:tc>
          <w:tcPr>
            <w:tcW w:type="dxa" w:w="2160"/>
          </w:tcPr>
          <w:p>
            <w:r>
              <w:t>乙类仓库</w:t>
            </w:r>
          </w:p>
        </w:tc>
        <w:tc>
          <w:tcPr>
            <w:tcW w:type="dxa" w:w="2160"/>
          </w:tcPr>
          <w:p>
            <w:r>
              <w:t>柴油、润滑油、沥青</w:t>
            </w:r>
          </w:p>
        </w:tc>
        <w:tc>
          <w:tcPr>
            <w:tcW w:type="dxa" w:w="2160"/>
          </w:tcPr>
          <w:p>
            <w:r>
              <w:t>防火分区、自动喷淋灭火</w:t>
            </w:r>
          </w:p>
        </w:tc>
        <w:tc>
          <w:tcPr>
            <w:tcW w:type="dxa" w:w="2160"/>
          </w:tcPr>
          <w:p>
            <w:r>
              <w:t>距办公区≥30m</w:t>
            </w:r>
          </w:p>
        </w:tc>
      </w:tr>
      <w:tr>
        <w:tc>
          <w:tcPr>
            <w:tcW w:type="dxa" w:w="2160"/>
          </w:tcPr>
          <w:p>
            <w:r>
              <w:t>丙类仓库</w:t>
            </w:r>
          </w:p>
        </w:tc>
        <w:tc>
          <w:tcPr>
            <w:tcW w:type="dxa" w:w="2160"/>
          </w:tcPr>
          <w:p>
            <w:r>
              <w:t>烧碱、硫酸（稀）、助剂</w:t>
            </w:r>
          </w:p>
        </w:tc>
        <w:tc>
          <w:tcPr>
            <w:tcW w:type="dxa" w:w="2160"/>
          </w:tcPr>
          <w:p>
            <w:r>
              <w:t>防腐蚀地面、应急冲洗设施</w:t>
            </w:r>
          </w:p>
        </w:tc>
        <w:tc>
          <w:tcPr>
            <w:tcW w:type="dxa" w:w="2160"/>
          </w:tcPr>
          <w:p>
            <w:r>
              <w:t>距办公区≥25m</w:t>
            </w:r>
          </w:p>
        </w:tc>
      </w:tr>
    </w:tbl>
    <w:p>
      <w:pPr>
        <w:pStyle w:val="Heading1"/>
      </w:pPr>
      <w:r>
        <w:t>第三章 禁忌物料管理</w:t>
      </w:r>
    </w:p>
    <w:p>
      <w:r>
        <w:t>第四条 性质互相矛盾的危险化学品严禁同库储存。公司主要禁忌组合如下：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物料A</w:t>
            </w:r>
          </w:p>
        </w:tc>
        <w:tc>
          <w:tcPr>
            <w:tcW w:type="dxa" w:w="2880"/>
          </w:tcPr>
          <w:p>
            <w:r>
              <w:t>物料B</w:t>
            </w:r>
          </w:p>
        </w:tc>
        <w:tc>
          <w:tcPr>
            <w:tcW w:type="dxa" w:w="2880"/>
          </w:tcPr>
          <w:p>
            <w:r>
              <w:t>禁忌原因</w:t>
            </w:r>
          </w:p>
        </w:tc>
      </w:tr>
      <w:tr>
        <w:tc>
          <w:tcPr>
            <w:tcW w:type="dxa" w:w="2880"/>
          </w:tcPr>
          <w:p>
            <w:r>
              <w:t>汽油（易燃液体）</w:t>
            </w:r>
          </w:p>
        </w:tc>
        <w:tc>
          <w:tcPr>
            <w:tcW w:type="dxa" w:w="2880"/>
          </w:tcPr>
          <w:p>
            <w:r>
              <w:t>双氧水（氧化剂）</w:t>
            </w:r>
          </w:p>
        </w:tc>
        <w:tc>
          <w:tcPr>
            <w:tcW w:type="dxa" w:w="2880"/>
          </w:tcPr>
          <w:p>
            <w:r>
              <w:t>氧化剂加速易燃液体燃烧</w:t>
            </w:r>
          </w:p>
        </w:tc>
      </w:tr>
      <w:tr>
        <w:tc>
          <w:tcPr>
            <w:tcW w:type="dxa" w:w="2880"/>
          </w:tcPr>
          <w:p>
            <w:r>
              <w:t>硫酸（强酸）</w:t>
            </w:r>
          </w:p>
        </w:tc>
        <w:tc>
          <w:tcPr>
            <w:tcW w:type="dxa" w:w="2880"/>
          </w:tcPr>
          <w:p>
            <w:r>
              <w:t>烧碱溶液（强碱）</w:t>
            </w:r>
          </w:p>
        </w:tc>
        <w:tc>
          <w:tcPr>
            <w:tcW w:type="dxa" w:w="2880"/>
          </w:tcPr>
          <w:p>
            <w:r>
              <w:t>酸碱反应剧烈放热</w:t>
            </w:r>
          </w:p>
        </w:tc>
      </w:tr>
      <w:tr>
        <w:tc>
          <w:tcPr>
            <w:tcW w:type="dxa" w:w="2880"/>
          </w:tcPr>
          <w:p>
            <w:r>
              <w:t>液化石油气（压缩气体）</w:t>
            </w:r>
          </w:p>
        </w:tc>
        <w:tc>
          <w:tcPr>
            <w:tcW w:type="dxa" w:w="2880"/>
          </w:tcPr>
          <w:p>
            <w:r>
              <w:t>硫酸（腐蚀品）</w:t>
            </w:r>
          </w:p>
        </w:tc>
        <w:tc>
          <w:tcPr>
            <w:tcW w:type="dxa" w:w="2880"/>
          </w:tcPr>
          <w:p>
            <w:r>
              <w:t>泄漏后腐蚀容器加剧风险</w:t>
            </w:r>
          </w:p>
        </w:tc>
      </w:tr>
      <w:tr>
        <w:tc>
          <w:tcPr>
            <w:tcW w:type="dxa" w:w="2880"/>
          </w:tcPr>
          <w:p>
            <w:r>
              <w:t>苯（有毒易燃）</w:t>
            </w:r>
          </w:p>
        </w:tc>
        <w:tc>
          <w:tcPr>
            <w:tcW w:type="dxa" w:w="2880"/>
          </w:tcPr>
          <w:p>
            <w:r>
              <w:t>盐酸（腐蚀品）</w:t>
            </w:r>
          </w:p>
        </w:tc>
        <w:tc>
          <w:tcPr>
            <w:tcW w:type="dxa" w:w="2880"/>
          </w:tcPr>
          <w:p>
            <w:r>
              <w:t>混合产生有毒气体</w:t>
            </w:r>
          </w:p>
        </w:tc>
      </w:tr>
    </w:tbl>
    <w:p>
      <w:pPr>
        <w:pStyle w:val="Heading1"/>
      </w:pPr>
      <w:r>
        <w:t>第四章 温湿度控制</w:t>
      </w:r>
    </w:p>
    <w:p>
      <w:r>
        <w:t>第五条 各类仓库温湿度控制标准：</w:t>
        <w:br/>
        <w:t>（一）甲类仓库：温度≤30℃，相对湿度≤75%，配备温湿度在线监测和自动报警</w:t>
        <w:br/>
        <w:t>（二）乙类仓库：温度≤35℃，相对湿度≤80%</w:t>
        <w:br/>
        <w:t>（三）液化气球罐区：罐壁温度≤45℃，超温启动喷淋降温</w:t>
        <w:br/>
        <w:t>（四）化学试剂库：温度15-25℃，相对湿度45-65%，精密空调控温</w:t>
      </w:r>
    </w:p>
    <w:p>
      <w:r>
        <w:t>第六条 夏季高温期间（6-9月）每2小时巡检一次库区温度，温度超过预警值时启动降温措施（通风、喷淋、遮阳）。</w:t>
      </w:r>
    </w:p>
    <w:p>
      <w:pPr>
        <w:pStyle w:val="Heading1"/>
      </w:pPr>
      <w:r>
        <w:t>第五章 库区安全设施</w:t>
      </w:r>
    </w:p>
    <w:p>
      <w:r>
        <w:t>第七条 危化品库区必须配备以下安全设施：</w:t>
        <w:br/>
        <w:t>（一）可燃气体/有毒气体检测报警装置，报警值设置：LEL 25%（预警）/50%（报警）</w:t>
        <w:br/>
        <w:t>（二）自动消防系统（泡沫灭火系统+干粉灭火系统）</w:t>
        <w:br/>
        <w:t>（三）防雷接地系统，接地电阻≤10Ω</w:t>
        <w:br/>
        <w:t>（四）防静电设施，人体静电消除器设在入口处</w:t>
        <w:br/>
        <w:t>（五）应急照明（不低于30分钟）和疏散指示标志</w:t>
        <w:br/>
        <w:t>（六）围堰/防火堤，容积不小于最大单罐容积的100%</w:t>
        <w:br/>
        <w:t>（七）视频监控系统，覆盖率100%，录像保存≥90天</w:t>
      </w:r>
    </w:p>
    <w:p>
      <w:pPr>
        <w:pStyle w:val="Heading1"/>
      </w:pPr>
      <w:r>
        <w:t>第六章 出入库管理</w:t>
      </w:r>
    </w:p>
    <w:p>
      <w:r>
        <w:t>第八条 危化品出入库执行双人验收制度：</w:t>
        <w:br/>
        <w:t>（一）入库时核对品名、规格、数量、包装完好性、安全数据表（SDS）</w:t>
        <w:br/>
        <w:t>（二）按品类分区、分垛存放，堆垛高度不超过2米</w:t>
        <w:br/>
        <w:t>（三）储存期限不超过6个月，先进先出</w:t>
        <w:br/>
        <w:t>（四）出库时再次核对，记录去向和用途</w:t>
        <w:br/>
        <w:t>（五）每月末盘点，账物相符率≥99.5%</w:t>
      </w:r>
    </w:p>
    <w:p>
      <w:pPr>
        <w:pStyle w:val="Heading1"/>
      </w:pPr>
      <w:r>
        <w:t>第七章 附则</w:t>
      </w:r>
    </w:p>
    <w:p>
      <w:r>
        <w:t>第九条 本规定由物流管理部负责解释和修订。</w:t>
      </w:r>
    </w:p>
    <w:p>
      <w:r>
        <w:t>第十条 本规定自发布之日起施行。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