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华能石化有限公司</w:t>
      </w:r>
    </w:p>
    <w:p>
      <w:pPr>
        <w:jc w:val="center"/>
      </w:pPr>
      <w:r>
        <w:rPr>
          <w:b/>
          <w:sz w:val="32"/>
        </w:rPr>
        <w:t>供应商准入与绩效评价管理办法</w:t>
      </w:r>
    </w:p>
    <w:p>
      <w:r>
        <w:rPr>
          <w:b w:val="0"/>
        </w:rPr>
        <w:t>文件编号：HN-CG-017-2025</w:t>
        <w:br/>
      </w:r>
      <w:r>
        <w:t>编制部门：采购管理部</w:t>
        <w:br/>
      </w:r>
      <w:r>
        <w:t>编制人：采购管理部部长 赵国栋</w:t>
        <w:br/>
      </w:r>
      <w:r>
        <w:t>审批人：总经理 李明远</w:t>
        <w:br/>
      </w:r>
      <w:r>
        <w:t>发布日期：2025年02月20日</w:t>
        <w:br/>
      </w:r>
      <w:r>
        <w:t>实施日期：2025年03月15日</w:t>
      </w:r>
    </w:p>
    <w:p>
      <w:pPr>
        <w:pStyle w:val="Heading1"/>
      </w:pPr>
      <w:r>
        <w:t>第一章 总则</w:t>
      </w:r>
    </w:p>
    <w:p>
      <w:r>
        <w:t>第一条 为规范公司供应商管理，建立公平、公正、透明的供应商准入与退出机制，持续优化供应链质量，根据《中华人民共和国招标投标法》、中国石油化工集团公司《物资供应商管理办法》及公司采购管理制度，制定本办法。</w:t>
      </w:r>
    </w:p>
    <w:p>
      <w:r>
        <w:t>第二条 本办法适用于向公司供应设备、材料、备件、化工原料、安全防护用品、劳保用品及技术服务的所有供应商。</w:t>
      </w:r>
    </w:p>
    <w:p>
      <w:r>
        <w:t>第三条 采购管理部是供应商管理的归口部门，各使用部门配合提供技术评审意见。</w:t>
      </w:r>
    </w:p>
    <w:p>
      <w:pPr>
        <w:pStyle w:val="Heading1"/>
      </w:pPr>
      <w:r>
        <w:t>第二章 供应商准入</w:t>
      </w:r>
    </w:p>
    <w:p>
      <w:r>
        <w:t>第四条 新供应商准入须提交以下资质材料：</w:t>
        <w:br/>
        <w:t>（一）营业执照（经营范围覆盖供货品类）</w:t>
        <w:br/>
        <w:t>（二）税务登记证或统一社会信用代码证</w:t>
        <w:br/>
        <w:t>（三）质量管理体系认证证书（ISO 9001或等效）</w:t>
        <w:br/>
        <w:t>（四）安全生产许可证（适用时）</w:t>
        <w:br/>
        <w:t>（五）特种设备制造/安装许可证（适用时）</w:t>
        <w:br/>
        <w:t>（六）近三年业绩证明（同类项目合同或中标通知书）</w:t>
        <w:br/>
        <w:t>（七）财务报表（最近一个年度）</w:t>
        <w:br/>
        <w:t>（八）无重大违法违规声明</w:t>
      </w:r>
    </w:p>
    <w:p>
      <w:r>
        <w:t>第五条 供应商资质审查由采购管理部组织，技术部门、安全部门、质量部门参与联合评审，形成《供应商资质评审报告》。</w:t>
      </w:r>
    </w:p>
    <w:p>
      <w:pPr>
        <w:pStyle w:val="Heading1"/>
      </w:pPr>
      <w:r>
        <w:t>第三章 绩效评分模型</w:t>
      </w:r>
    </w:p>
    <w:p>
      <w:r>
        <w:t>第六条 供应商年度绩效评价采用百分制，评分维度及权重如下：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评分维度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  <w:tc>
          <w:tcPr>
            <w:tcW w:type="dxa" w:w="2160"/>
          </w:tcPr>
          <w:p>
            <w:r>
              <w:t>评分标准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产品质量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合格率≥99%得满分，每降0.5%扣5分</w:t>
            </w:r>
          </w:p>
        </w:tc>
        <w:tc>
          <w:tcPr>
            <w:tcW w:type="dxa" w:w="2160"/>
          </w:tcPr>
          <w:p>
            <w:r>
              <w:t>质检报告</w:t>
            </w:r>
          </w:p>
        </w:tc>
      </w:tr>
      <w:tr>
        <w:tc>
          <w:tcPr>
            <w:tcW w:type="dxa" w:w="2160"/>
          </w:tcPr>
          <w:p>
            <w:r>
              <w:t>交货及时性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准时交货率≥95%得满分，每降2%扣5分</w:t>
            </w:r>
          </w:p>
        </w:tc>
        <w:tc>
          <w:tcPr>
            <w:tcW w:type="dxa" w:w="2160"/>
          </w:tcPr>
          <w:p>
            <w:r>
              <w:t>入库记录</w:t>
            </w:r>
          </w:p>
        </w:tc>
      </w:tr>
      <w:tr>
        <w:tc>
          <w:tcPr>
            <w:tcW w:type="dxa" w:w="2160"/>
          </w:tcPr>
          <w:p>
            <w:r>
              <w:t>价格竞争力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低于市场均价得满分，高于均价按比例扣分</w:t>
            </w:r>
          </w:p>
        </w:tc>
        <w:tc>
          <w:tcPr>
            <w:tcW w:type="dxa" w:w="2160"/>
          </w:tcPr>
          <w:p>
            <w:r>
              <w:t>市场调研</w:t>
            </w:r>
          </w:p>
        </w:tc>
      </w:tr>
      <w:tr>
        <w:tc>
          <w:tcPr>
            <w:tcW w:type="dxa" w:w="2160"/>
          </w:tcPr>
          <w:p>
            <w:r>
              <w:t>售后服务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响应时间≤4h满分，超时按比例扣分</w:t>
            </w:r>
          </w:p>
        </w:tc>
        <w:tc>
          <w:tcPr>
            <w:tcW w:type="dxa" w:w="2160"/>
          </w:tcPr>
          <w:p>
            <w:r>
              <w:t>服务工单</w:t>
            </w:r>
          </w:p>
        </w:tc>
      </w:tr>
      <w:tr>
        <w:tc>
          <w:tcPr>
            <w:tcW w:type="dxa" w:w="2160"/>
          </w:tcPr>
          <w:p>
            <w:r>
              <w:t>安全合规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零安全事故满分，发生事故视严重程度扣分</w:t>
            </w:r>
          </w:p>
        </w:tc>
        <w:tc>
          <w:tcPr>
            <w:tcW w:type="dxa" w:w="2160"/>
          </w:tcPr>
          <w:p>
            <w:r>
              <w:t>安全记录</w:t>
            </w:r>
          </w:p>
        </w:tc>
      </w:tr>
      <w:tr>
        <w:tc>
          <w:tcPr>
            <w:tcW w:type="dxa" w:w="2160"/>
          </w:tcPr>
          <w:p>
            <w:r>
              <w:t>创新能力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提供技术改进方案或新产品推荐</w:t>
            </w:r>
          </w:p>
        </w:tc>
        <w:tc>
          <w:tcPr>
            <w:tcW w:type="dxa" w:w="2160"/>
          </w:tcPr>
          <w:p>
            <w:r>
              <w:t>技术部门评价</w:t>
            </w:r>
          </w:p>
        </w:tc>
      </w:tr>
    </w:tbl>
    <w:p>
      <w:pPr>
        <w:pStyle w:val="Heading1"/>
      </w:pPr>
      <w:r>
        <w:t>第四章 供应商分级</w:t>
      </w:r>
    </w:p>
    <w:p>
      <w:r>
        <w:t>第七条 根据年度绩效评分，供应商分为四个等级：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评分区间</w:t>
            </w:r>
          </w:p>
        </w:tc>
        <w:tc>
          <w:tcPr>
            <w:tcW w:type="dxa" w:w="2160"/>
          </w:tcPr>
          <w:p>
            <w:r>
              <w:t>管理策略</w:t>
            </w:r>
          </w:p>
        </w:tc>
        <w:tc>
          <w:tcPr>
            <w:tcW w:type="dxa" w:w="2160"/>
          </w:tcPr>
          <w:p>
            <w:r>
              <w:t>采购份额</w:t>
            </w:r>
          </w:p>
        </w:tc>
      </w:tr>
      <w:tr>
        <w:tc>
          <w:tcPr>
            <w:tcW w:type="dxa" w:w="2160"/>
          </w:tcPr>
          <w:p>
            <w:r>
              <w:t>A级（战略）</w:t>
            </w:r>
          </w:p>
        </w:tc>
        <w:tc>
          <w:tcPr>
            <w:tcW w:type="dxa" w:w="2160"/>
          </w:tcPr>
          <w:p>
            <w:r>
              <w:t>90-100分</w:t>
            </w:r>
          </w:p>
        </w:tc>
        <w:tc>
          <w:tcPr>
            <w:tcW w:type="dxa" w:w="2160"/>
          </w:tcPr>
          <w:p>
            <w:r>
              <w:t>长期合作、优先采购、年度框架协议</w:t>
            </w:r>
          </w:p>
        </w:tc>
        <w:tc>
          <w:tcPr>
            <w:tcW w:type="dxa" w:w="2160"/>
          </w:tcPr>
          <w:p>
            <w:r>
              <w:t>≥40%</w:t>
            </w:r>
          </w:p>
        </w:tc>
      </w:tr>
      <w:tr>
        <w:tc>
          <w:tcPr>
            <w:tcW w:type="dxa" w:w="2160"/>
          </w:tcPr>
          <w:p>
            <w:r>
              <w:t>B级（优选）</w:t>
            </w:r>
          </w:p>
        </w:tc>
        <w:tc>
          <w:tcPr>
            <w:tcW w:type="dxa" w:w="2160"/>
          </w:tcPr>
          <w:p>
            <w:r>
              <w:t>75-89分</w:t>
            </w:r>
          </w:p>
        </w:tc>
        <w:tc>
          <w:tcPr>
            <w:tcW w:type="dxa" w:w="2160"/>
          </w:tcPr>
          <w:p>
            <w:r>
              <w:t>正常合作、竞争性谈判</w:t>
            </w:r>
          </w:p>
        </w:tc>
        <w:tc>
          <w:tcPr>
            <w:tcW w:type="dxa" w:w="2160"/>
          </w:tcPr>
          <w:p>
            <w:r>
              <w:t>30-40%</w:t>
            </w:r>
          </w:p>
        </w:tc>
      </w:tr>
      <w:tr>
        <w:tc>
          <w:tcPr>
            <w:tcW w:type="dxa" w:w="2160"/>
          </w:tcPr>
          <w:p>
            <w:r>
              <w:t>C级（合格）</w:t>
            </w:r>
          </w:p>
        </w:tc>
        <w:tc>
          <w:tcPr>
            <w:tcW w:type="dxa" w:w="2160"/>
          </w:tcPr>
          <w:p>
            <w:r>
              <w:t>60-74分</w:t>
            </w:r>
          </w:p>
        </w:tc>
        <w:tc>
          <w:tcPr>
            <w:tcW w:type="dxa" w:w="2160"/>
          </w:tcPr>
          <w:p>
            <w:r>
              <w:t>限制合作、整改观察、减少份额</w:t>
            </w:r>
          </w:p>
        </w:tc>
        <w:tc>
          <w:tcPr>
            <w:tcW w:type="dxa" w:w="2160"/>
          </w:tcPr>
          <w:p>
            <w:r>
              <w:t>10-20%</w:t>
            </w:r>
          </w:p>
        </w:tc>
      </w:tr>
      <w:tr>
        <w:tc>
          <w:tcPr>
            <w:tcW w:type="dxa" w:w="2160"/>
          </w:tcPr>
          <w:p>
            <w:r>
              <w:t>D级（淘汰）</w:t>
            </w:r>
          </w:p>
        </w:tc>
        <w:tc>
          <w:tcPr>
            <w:tcW w:type="dxa" w:w="2160"/>
          </w:tcPr>
          <w:p>
            <w:r>
              <w:t>&lt;60分</w:t>
            </w:r>
          </w:p>
        </w:tc>
        <w:tc>
          <w:tcPr>
            <w:tcW w:type="dxa" w:w="2160"/>
          </w:tcPr>
          <w:p>
            <w:r>
              <w:t>暂停合作、列入黑名单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</w:tbl>
    <w:p>
      <w:r>
        <w:t>第八条 D级供应商立即暂停供货资格，列入供应商黑名单，2年内不得重新申请准入。C级供应商给予6个月整改期，整改后重新评审，仍达不到B级标准的降为D级。</w:t>
      </w:r>
    </w:p>
    <w:p>
      <w:pPr>
        <w:pStyle w:val="Heading1"/>
      </w:pPr>
      <w:r>
        <w:t>第五章 合同管理</w:t>
      </w:r>
    </w:p>
    <w:p>
      <w:r>
        <w:t>第九条 采购合同签订须遵循以下原则：</w:t>
        <w:br/>
        <w:t>（一）A级供应商可签订年度框架合同，有效期1-3年</w:t>
        <w:br/>
        <w:t>（二）单次采购金额≥50万元须经招标或竞争性谈判</w:t>
        <w:br/>
        <w:t>（三）合同必须包含质量保证条款、违约责任和争议解决机制</w:t>
        <w:br/>
        <w:t>（四）涉及危化品的合同须附《安全技术协议》</w:t>
        <w:br/>
        <w:t>（五）合同原件由采购管理部统一归档，扫描件录入ERP系统</w:t>
      </w:r>
    </w:p>
    <w:p>
      <w:pPr>
        <w:pStyle w:val="Heading1"/>
      </w:pPr>
      <w:r>
        <w:t>第六章 附则</w:t>
      </w:r>
    </w:p>
    <w:p>
      <w:r>
        <w:t>第十条 本办法由采购管理部负责解释和修订。</w:t>
      </w:r>
    </w:p>
    <w:p>
      <w:r>
        <w:t>第十一条 本办法自发布之日起施行。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