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华能石化有限公司</w:t>
      </w:r>
    </w:p>
    <w:p>
      <w:pPr>
        <w:jc w:val="center"/>
      </w:pPr>
      <w:r>
        <w:rPr>
          <w:b/>
          <w:sz w:val="32"/>
        </w:rPr>
        <w:t>应急演练计划与评估管理办法</w:t>
      </w:r>
    </w:p>
    <w:p>
      <w:r>
        <w:rPr>
          <w:b w:val="0"/>
        </w:rPr>
        <w:t>文件编号：HN-YJ-018-2025</w:t>
        <w:br/>
      </w:r>
      <w:r>
        <w:t>编制部门：应急管理部</w:t>
        <w:br/>
      </w:r>
      <w:r>
        <w:t>编制人：应急管理部部长 孙伟明</w:t>
        <w:br/>
      </w:r>
      <w:r>
        <w:t>审批人：总经理 李明远</w:t>
        <w:br/>
      </w:r>
      <w:r>
        <w:t>发布日期：2025年02月20日</w:t>
        <w:br/>
      </w:r>
      <w:r>
        <w:t>实施日期：2025年03月15日</w:t>
      </w:r>
    </w:p>
    <w:p>
      <w:pPr>
        <w:pStyle w:val="Heading1"/>
      </w:pPr>
      <w:r>
        <w:t>第一章 总则</w:t>
      </w:r>
    </w:p>
    <w:p>
      <w:r>
        <w:t>第一条 为提高公司突发事件应急处置能力，检验应急预案的实用性和有效性，根据《生产安全事故应急条例》（国务院令第708号）、AQ/T 9007-2019《生产安全事故应急演练基本规范》、GB/T 29639-2020《生产经营单位生产安全事故应急预案编制导则》，制定本办法。</w:t>
      </w:r>
    </w:p>
    <w:p>
      <w:r>
        <w:t>第二条 本办法适用于公司及各下属单位组织的综合应急演练、专项应急演练和现场处置演练。</w:t>
      </w:r>
    </w:p>
    <w:p>
      <w:pPr>
        <w:pStyle w:val="Heading1"/>
      </w:pPr>
      <w:r>
        <w:t>第二章 年度演练计划</w:t>
      </w:r>
    </w:p>
    <w:p>
      <w:r>
        <w:t>第三条 应急管理部于每年12月编制下年度《应急演练计划》，经分管副总审批后下发。</w:t>
      </w:r>
    </w:p>
    <w:p>
      <w:r>
        <w:t>第四条 年度演练频次要求：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演练类型</w:t>
            </w:r>
          </w:p>
        </w:tc>
        <w:tc>
          <w:tcPr>
            <w:tcW w:type="dxa" w:w="1728"/>
          </w:tcPr>
          <w:p>
            <w:r>
              <w:t>频次</w:t>
            </w:r>
          </w:p>
        </w:tc>
        <w:tc>
          <w:tcPr>
            <w:tcW w:type="dxa" w:w="1728"/>
          </w:tcPr>
          <w:p>
            <w:r>
              <w:t>参演范围</w:t>
            </w:r>
          </w:p>
        </w:tc>
        <w:tc>
          <w:tcPr>
            <w:tcW w:type="dxa" w:w="1728"/>
          </w:tcPr>
          <w:p>
            <w:r>
              <w:t>持续时间</w:t>
            </w:r>
          </w:p>
        </w:tc>
        <w:tc>
          <w:tcPr>
            <w:tcW w:type="dxa" w:w="1728"/>
          </w:tcPr>
          <w:p>
            <w:r>
              <w:t>评审要求</w:t>
            </w:r>
          </w:p>
        </w:tc>
      </w:tr>
      <w:tr>
        <w:tc>
          <w:tcPr>
            <w:tcW w:type="dxa" w:w="1728"/>
          </w:tcPr>
          <w:p>
            <w:r>
              <w:t>综合应急演练</w:t>
            </w:r>
          </w:p>
        </w:tc>
        <w:tc>
          <w:tcPr>
            <w:tcW w:type="dxa" w:w="1728"/>
          </w:tcPr>
          <w:p>
            <w:r>
              <w:t>≥1次/年</w:t>
            </w:r>
          </w:p>
        </w:tc>
        <w:tc>
          <w:tcPr>
            <w:tcW w:type="dxa" w:w="1728"/>
          </w:tcPr>
          <w:p>
            <w:r>
              <w:t>全公司</w:t>
            </w:r>
          </w:p>
        </w:tc>
        <w:tc>
          <w:tcPr>
            <w:tcW w:type="dxa" w:w="1728"/>
          </w:tcPr>
          <w:p>
            <w:r>
              <w:t>2-4小时</w:t>
            </w:r>
          </w:p>
        </w:tc>
        <w:tc>
          <w:tcPr>
            <w:tcW w:type="dxa" w:w="1728"/>
          </w:tcPr>
          <w:p>
            <w:r>
              <w:t>外部专家评审</w:t>
            </w:r>
          </w:p>
        </w:tc>
      </w:tr>
      <w:tr>
        <w:tc>
          <w:tcPr>
            <w:tcW w:type="dxa" w:w="1728"/>
          </w:tcPr>
          <w:p>
            <w:r>
              <w:t>专项应急演练</w:t>
            </w:r>
          </w:p>
        </w:tc>
        <w:tc>
          <w:tcPr>
            <w:tcW w:type="dxa" w:w="1728"/>
          </w:tcPr>
          <w:p>
            <w:r>
              <w:t>≥2次/年</w:t>
            </w:r>
          </w:p>
        </w:tc>
        <w:tc>
          <w:tcPr>
            <w:tcW w:type="dxa" w:w="1728"/>
          </w:tcPr>
          <w:p>
            <w:r>
              <w:t>相关部门+消防</w:t>
            </w:r>
          </w:p>
        </w:tc>
        <w:tc>
          <w:tcPr>
            <w:tcW w:type="dxa" w:w="1728"/>
          </w:tcPr>
          <w:p>
            <w:r>
              <w:t>1-2小时</w:t>
            </w:r>
          </w:p>
        </w:tc>
        <w:tc>
          <w:tcPr>
            <w:tcW w:type="dxa" w:w="1728"/>
          </w:tcPr>
          <w:p>
            <w:r>
              <w:t>公司级评审</w:t>
            </w:r>
          </w:p>
        </w:tc>
      </w:tr>
      <w:tr>
        <w:tc>
          <w:tcPr>
            <w:tcW w:type="dxa" w:w="1728"/>
          </w:tcPr>
          <w:p>
            <w:r>
              <w:t>现场处置演练</w:t>
            </w:r>
          </w:p>
        </w:tc>
        <w:tc>
          <w:tcPr>
            <w:tcW w:type="dxa" w:w="1728"/>
          </w:tcPr>
          <w:p>
            <w:r>
              <w:t>≥4次/年</w:t>
            </w:r>
          </w:p>
        </w:tc>
        <w:tc>
          <w:tcPr>
            <w:tcW w:type="dxa" w:w="1728"/>
          </w:tcPr>
          <w:p>
            <w:r>
              <w:t>班组/车间</w:t>
            </w:r>
          </w:p>
        </w:tc>
        <w:tc>
          <w:tcPr>
            <w:tcW w:type="dxa" w:w="1728"/>
          </w:tcPr>
          <w:p>
            <w:r>
              <w:t>30-60分钟</w:t>
            </w:r>
          </w:p>
        </w:tc>
        <w:tc>
          <w:tcPr>
            <w:tcW w:type="dxa" w:w="1728"/>
          </w:tcPr>
          <w:p>
            <w:r>
              <w:t>部门级评审</w:t>
            </w:r>
          </w:p>
        </w:tc>
      </w:tr>
      <w:tr>
        <w:tc>
          <w:tcPr>
            <w:tcW w:type="dxa" w:w="1728"/>
          </w:tcPr>
          <w:p>
            <w:r>
              <w:t>桌面推演</w:t>
            </w:r>
          </w:p>
        </w:tc>
        <w:tc>
          <w:tcPr>
            <w:tcW w:type="dxa" w:w="1728"/>
          </w:tcPr>
          <w:p>
            <w:r>
              <w:t>≥2次/年</w:t>
            </w:r>
          </w:p>
        </w:tc>
        <w:tc>
          <w:tcPr>
            <w:tcW w:type="dxa" w:w="1728"/>
          </w:tcPr>
          <w:p>
            <w:r>
              <w:t>应急指挥部</w:t>
            </w:r>
          </w:p>
        </w:tc>
        <w:tc>
          <w:tcPr>
            <w:tcW w:type="dxa" w:w="1728"/>
          </w:tcPr>
          <w:p>
            <w:r>
              <w:t>1-2小时</w:t>
            </w:r>
          </w:p>
        </w:tc>
        <w:tc>
          <w:tcPr>
            <w:tcW w:type="dxa" w:w="1728"/>
          </w:tcPr>
          <w:p>
            <w:r>
              <w:t>内部评审</w:t>
            </w:r>
          </w:p>
        </w:tc>
      </w:tr>
    </w:tbl>
    <w:p>
      <w:pPr>
        <w:pStyle w:val="Heading1"/>
      </w:pPr>
      <w:r>
        <w:t>第三章 演练情景设计</w:t>
      </w:r>
    </w:p>
    <w:p>
      <w:r>
        <w:t>第五条 演练情景应覆盖公司主要风险类型，2025年度重点演练情景包括：</w:t>
      </w:r>
    </w:p>
    <w:p>
      <w:pPr>
        <w:pStyle w:val="ListBullet"/>
      </w:pPr>
      <w:r>
        <w:t>催化裂化装置油气泄漏引发火灾爆炸（综合演练，6月）</w:t>
      </w:r>
    </w:p>
    <w:p>
      <w:pPr>
        <w:pStyle w:val="ListBullet"/>
      </w:pPr>
      <w:r>
        <w:t>液化石油气球罐泄漏及毒气扩散（专项演练，4月）</w:t>
      </w:r>
    </w:p>
    <w:p>
      <w:pPr>
        <w:pStyle w:val="ListBullet"/>
      </w:pPr>
      <w:r>
        <w:t>储罐区全面火灾（专项演练，9月）</w:t>
      </w:r>
    </w:p>
    <w:p>
      <w:pPr>
        <w:pStyle w:val="ListBullet"/>
      </w:pPr>
      <w:r>
        <w:t>危化品运输车辆翻覆泄漏（现场演练，3月、7月）</w:t>
      </w:r>
    </w:p>
    <w:p>
      <w:pPr>
        <w:pStyle w:val="ListBullet"/>
      </w:pPr>
      <w:r>
        <w:t>废水处理场超标排放应急（现场演练，5月、10月）</w:t>
      </w:r>
    </w:p>
    <w:p>
      <w:pPr>
        <w:pStyle w:val="ListBullet"/>
      </w:pPr>
      <w:r>
        <w:t>地震导致装置损坏（桌面推演，8月）</w:t>
      </w:r>
    </w:p>
    <w:p>
      <w:pPr>
        <w:pStyle w:val="ListBullet"/>
      </w:pPr>
      <w:r>
        <w:t>暴雨洪涝导致罐区进水（桌面推演，11月）</w:t>
      </w:r>
    </w:p>
    <w:p>
      <w:r>
        <w:t>第六条 演练情景设计须包含以下要素：</w:t>
        <w:br/>
        <w:t>（一）事故类型及危害程度假设</w:t>
        <w:br/>
        <w:t>（二）事故发生的时间、地点、气象条件</w:t>
        <w:br/>
        <w:t>（三）事故影响范围和可能的后果</w:t>
        <w:br/>
        <w:t>（四）需要调动的应急资源</w:t>
        <w:br/>
        <w:t>（五）模拟伤亡情况（如有）</w:t>
      </w:r>
    </w:p>
    <w:p>
      <w:pPr>
        <w:pStyle w:val="Heading1"/>
      </w:pPr>
      <w:r>
        <w:t>第四章 演练组织实施</w:t>
      </w:r>
    </w:p>
    <w:p>
      <w:r>
        <w:t>第七条 演练组织机构：</w:t>
        <w:br/>
        <w:t>（一）总指挥：分管安全副总经理</w:t>
        <w:br/>
        <w:t>（二）副总指挥：安全生产部部长、应急管理部部长</w:t>
        <w:br/>
        <w:t>（三）演练策划组：编制演练方案、协调资源</w:t>
        <w:br/>
        <w:t>（四）演练执行组：现场导调、信号控制</w:t>
        <w:br/>
        <w:t>（五）演练评估组：记录观察、拍照录像</w:t>
        <w:br/>
        <w:t>（六）后勤保障组：医疗、通讯、物资保障</w:t>
      </w:r>
    </w:p>
    <w:p>
      <w:r>
        <w:t>第八条 演练实施流程：</w:t>
        <w:br/>
        <w:t>（一）演练前7天发布演练通知</w:t>
        <w:br/>
        <w:t>（二）演练前3天组织桌面推演和关键岗位培训</w:t>
        <w:br/>
        <w:t>（三）演练前1天检查应急物资和设备就位</w:t>
        <w:br/>
        <w:t>（四）演练当天按方案执行，评估组全程记录</w:t>
        <w:br/>
        <w:t>（五）演练结束后立即召开现场总结会</w:t>
      </w:r>
    </w:p>
    <w:p>
      <w:pPr>
        <w:pStyle w:val="Heading1"/>
      </w:pPr>
      <w:r>
        <w:t>第五章 演练评估标准</w:t>
      </w:r>
    </w:p>
    <w:p>
      <w:r>
        <w:t>第九条 演练效果评估采用百分制：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评估项目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</w:tr>
      <w:tr>
        <w:tc>
          <w:tcPr>
            <w:tcW w:type="dxa" w:w="2880"/>
          </w:tcPr>
          <w:p>
            <w:r>
              <w:t>报警与通讯</w:t>
            </w:r>
          </w:p>
        </w:tc>
        <w:tc>
          <w:tcPr>
            <w:tcW w:type="dxa" w:w="2880"/>
          </w:tcPr>
          <w:p>
            <w:r>
              <w:t>15分</w:t>
            </w:r>
          </w:p>
        </w:tc>
        <w:tc>
          <w:tcPr>
            <w:tcW w:type="dxa" w:w="2880"/>
          </w:tcPr>
          <w:p>
            <w:r>
              <w:t>报警及时（≤3分钟）、通讯畅通、信息准确</w:t>
            </w:r>
          </w:p>
        </w:tc>
      </w:tr>
      <w:tr>
        <w:tc>
          <w:tcPr>
            <w:tcW w:type="dxa" w:w="2880"/>
          </w:tcPr>
          <w:p>
            <w:r>
              <w:t>应急响应</w:t>
            </w:r>
          </w:p>
        </w:tc>
        <w:tc>
          <w:tcPr>
            <w:tcW w:type="dxa" w:w="2880"/>
          </w:tcPr>
          <w:p>
            <w:r>
              <w:t>20分</w:t>
            </w:r>
          </w:p>
        </w:tc>
        <w:tc>
          <w:tcPr>
            <w:tcW w:type="dxa" w:w="2880"/>
          </w:tcPr>
          <w:p>
            <w:r>
              <w:t>响应时间≤5分钟、指挥到位、职责清晰</w:t>
            </w:r>
          </w:p>
        </w:tc>
      </w:tr>
      <w:tr>
        <w:tc>
          <w:tcPr>
            <w:tcW w:type="dxa" w:w="2880"/>
          </w:tcPr>
          <w:p>
            <w:r>
              <w:t>现场处置</w:t>
            </w:r>
          </w:p>
        </w:tc>
        <w:tc>
          <w:tcPr>
            <w:tcW w:type="dxa" w:w="2880"/>
          </w:tcPr>
          <w:p>
            <w:r>
              <w:t>25分</w:t>
            </w:r>
          </w:p>
        </w:tc>
        <w:tc>
          <w:tcPr>
            <w:tcW w:type="dxa" w:w="2880"/>
          </w:tcPr>
          <w:p>
            <w:r>
              <w:t>处置措施正确、操作规范、无二次伤害</w:t>
            </w:r>
          </w:p>
        </w:tc>
      </w:tr>
      <w:tr>
        <w:tc>
          <w:tcPr>
            <w:tcW w:type="dxa" w:w="2880"/>
          </w:tcPr>
          <w:p>
            <w:r>
              <w:t>人员疏散</w:t>
            </w:r>
          </w:p>
        </w:tc>
        <w:tc>
          <w:tcPr>
            <w:tcW w:type="dxa" w:w="2880"/>
          </w:tcPr>
          <w:p>
            <w:r>
              <w:t>15分</w:t>
            </w:r>
          </w:p>
        </w:tc>
        <w:tc>
          <w:tcPr>
            <w:tcW w:type="dxa" w:w="2880"/>
          </w:tcPr>
          <w:p>
            <w:r>
              <w:t>疏散有序、清点到位、用时≤10分钟</w:t>
            </w:r>
          </w:p>
        </w:tc>
      </w:tr>
      <w:tr>
        <w:tc>
          <w:tcPr>
            <w:tcW w:type="dxa" w:w="2880"/>
          </w:tcPr>
          <w:p>
            <w:r>
              <w:t>医疗救护</w:t>
            </w:r>
          </w:p>
        </w:tc>
        <w:tc>
          <w:tcPr>
            <w:tcW w:type="dxa" w:w="2880"/>
          </w:tcPr>
          <w:p>
            <w:r>
              <w:t>10分</w:t>
            </w:r>
          </w:p>
        </w:tc>
        <w:tc>
          <w:tcPr>
            <w:tcW w:type="dxa" w:w="2880"/>
          </w:tcPr>
          <w:p>
            <w:r>
              <w:t>救护及时、处置正确</w:t>
            </w:r>
          </w:p>
        </w:tc>
      </w:tr>
      <w:tr>
        <w:tc>
          <w:tcPr>
            <w:tcW w:type="dxa" w:w="2880"/>
          </w:tcPr>
          <w:p>
            <w:r>
              <w:t>后勤保障</w:t>
            </w:r>
          </w:p>
        </w:tc>
        <w:tc>
          <w:tcPr>
            <w:tcW w:type="dxa" w:w="2880"/>
          </w:tcPr>
          <w:p>
            <w:r>
              <w:t>15分</w:t>
            </w:r>
          </w:p>
        </w:tc>
        <w:tc>
          <w:tcPr>
            <w:tcW w:type="dxa" w:w="2880"/>
          </w:tcPr>
          <w:p>
            <w:r>
              <w:t>物资到位、协调有序、记录完整</w:t>
            </w:r>
          </w:p>
        </w:tc>
      </w:tr>
    </w:tbl>
    <w:p>
      <w:r>
        <w:t>第十条 评估结果分级：</w:t>
        <w:br/>
        <w:t>≥90分：优秀——应急预案有效，可操作性强</w:t>
        <w:br/>
        <w:t>75-89分：良好——基本有效，局部需改进</w:t>
        <w:br/>
        <w:t>60-74分：合格——存在明显不足，须在30天内整改</w:t>
        <w:br/>
        <w:t>&lt;60分：不合格——须在15天内重新组织演练</w:t>
      </w:r>
    </w:p>
    <w:p>
      <w:pPr>
        <w:pStyle w:val="Heading1"/>
      </w:pPr>
      <w:r>
        <w:t>第六章 改进跟踪</w:t>
      </w:r>
    </w:p>
    <w:p>
      <w:r>
        <w:t>第十一条 演练结束后10个工作日内，应急管理部编制《演练评估报告》，内容包括：</w:t>
        <w:br/>
        <w:t>（一）演练基本情况（时间、地点、参演人数）</w:t>
        <w:br/>
        <w:t>（二）各环节评分及扣分原因</w:t>
        <w:br/>
        <w:t>（三）发现的问题清单</w:t>
        <w:br/>
        <w:t>（四）整改措施及责任人</w:t>
        <w:br/>
        <w:t>（五）预案修订建议</w:t>
      </w:r>
    </w:p>
    <w:p>
      <w:r>
        <w:t>第十二条 问题整改采用PDCA闭环管理：</w:t>
        <w:br/>
        <w:t>（一）Plan：制定整改方案，明确完成时限</w:t>
        <w:br/>
        <w:t>（二）Do：责任部门落实整改</w:t>
        <w:br/>
        <w:t>（三）Check：应急管理部验收整改效果</w:t>
        <w:br/>
        <w:t>（四）Act：将改进措施纳入应急预案修订</w:t>
      </w:r>
    </w:p>
    <w:p>
      <w:pPr>
        <w:pStyle w:val="Heading1"/>
      </w:pPr>
      <w:r>
        <w:t>第七章 附则</w:t>
      </w:r>
    </w:p>
    <w:p>
      <w:r>
        <w:t>第十三条 本办法由应急管理部负责解释和修订。</w:t>
      </w:r>
    </w:p>
    <w:p>
      <w:r>
        <w:t>第十四条 本办法自发布之日起施行。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