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FD9A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jc w:val="center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企业的 AI for Scenes：从“试炼场”到“流水线”的全量进化</w:t>
      </w:r>
    </w:p>
    <w:p w14:paraId="13FB466D">
      <w:pPr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</w:p>
    <w:p w14:paraId="0824E63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80" w:firstLineChars="20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当全球目光还聚焦于 AI for Science 如何重塑科研边界时，企业级大模型的真正下半场已经悄然转换了赛道。</w:t>
      </w:r>
    </w:p>
    <w:p w14:paraId="4401473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从“AI for Science”的实验室探索，走向“AI for Scenes”的生产力实战</w:t>
      </w:r>
      <w:r>
        <w:rPr>
          <w:rFonts w:hint="default" w:ascii="sans-serif" w:hAnsi="sans-serif" w:eastAsia="sans-serif" w:cs="sans-serif"/>
          <w:color w:val="1F1F1F"/>
        </w:rPr>
        <w:t>——这不仅是技术重心的转移，更是 AI 真正进入企业“毛细血管”的标志。睿动智能体云平台，正致力于成为这场变革的“企业级 AI 场景试炼场”，让 AI 从高深的概念，转化为全量交付的数字化劳动力。</w:t>
      </w:r>
    </w:p>
    <w:p w14:paraId="73A5758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一、 场景即生命线：在“智能体广场”见证实战力</w:t>
      </w:r>
    </w:p>
    <w:p w14:paraId="7C54C54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在睿动的“智能体广场”里，AI 不再是只会写诗的通用模型，而是深耕行业、精准卡位的执行专家。这些预置的智能体，是“AI for Scenes”最直观的注脚：</w:t>
      </w:r>
    </w:p>
    <w:p w14:paraId="1655BB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金融行业：穿透式监管与高效服务</w:t>
      </w:r>
    </w:p>
    <w:p w14:paraId="1F2E55F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针对金融业务的严监管特性，广场内提供了</w:t>
      </w:r>
      <w:r>
        <w:rPr>
          <w:rFonts w:hint="default" w:ascii="sans-serif" w:hAnsi="sans-serif" w:eastAsia="sans-serif" w:cs="sans-serif"/>
          <w:b/>
          <w:bCs/>
          <w:color w:val="1F1F1F"/>
        </w:rPr>
        <w:t>本体穿透式监管智能体</w:t>
      </w:r>
      <w:r>
        <w:rPr>
          <w:rFonts w:hint="default" w:ascii="sans-serif" w:hAnsi="sans-serif" w:eastAsia="sans-serif" w:cs="sans-serif"/>
          <w:color w:val="1F1F1F"/>
        </w:rPr>
        <w:t>，让穿透式合规审计不再是人力难及的负担；</w:t>
      </w:r>
      <w:r>
        <w:rPr>
          <w:rFonts w:hint="default" w:ascii="sans-serif" w:hAnsi="sans-serif" w:eastAsia="sans-serif" w:cs="sans-serif"/>
          <w:b/>
          <w:bCs/>
          <w:color w:val="1F1F1F"/>
        </w:rPr>
        <w:t>尽调助手</w:t>
      </w:r>
      <w:r>
        <w:rPr>
          <w:rFonts w:hint="default" w:ascii="sans-serif" w:hAnsi="sans-serif" w:eastAsia="sans-serif" w:cs="sans-serif"/>
          <w:color w:val="1F1F1F"/>
        </w:rPr>
        <w:t>与</w:t>
      </w:r>
      <w:r>
        <w:rPr>
          <w:rFonts w:hint="default" w:ascii="sans-serif" w:hAnsi="sans-serif" w:eastAsia="sans-serif" w:cs="sans-serif"/>
          <w:b/>
          <w:bCs/>
          <w:color w:val="1F1F1F"/>
        </w:rPr>
        <w:t>开户助手</w:t>
      </w:r>
      <w:r>
        <w:rPr>
          <w:rFonts w:hint="default" w:ascii="sans-serif" w:hAnsi="sans-serif" w:eastAsia="sans-serif" w:cs="sans-serif"/>
          <w:color w:val="1F1F1F"/>
        </w:rPr>
        <w:t>则直接切入一线业务，将原本数天的处理周期缩短至分钟级。</w:t>
      </w:r>
    </w:p>
    <w:p w14:paraId="6BD9F8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eastAsia" w:ascii="sans-serif" w:hAnsi="sans-serif" w:eastAsia="宋体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能源行业：知识赋能与设备</w:t>
      </w: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图谱</w:t>
      </w:r>
    </w:p>
    <w:p w14:paraId="280CE78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在重资产的能源领域，</w:t>
      </w:r>
      <w:r>
        <w:rPr>
          <w:rFonts w:hint="default" w:ascii="sans-serif" w:hAnsi="sans-serif" w:eastAsia="sans-serif" w:cs="sans-serif"/>
          <w:b/>
          <w:bCs/>
          <w:color w:val="1F1F1F"/>
        </w:rPr>
        <w:t>设备管理助手</w:t>
      </w:r>
      <w:r>
        <w:rPr>
          <w:rFonts w:hint="default" w:ascii="sans-serif" w:hAnsi="sans-serif" w:eastAsia="sans-serif" w:cs="sans-serif"/>
          <w:color w:val="1F1F1F"/>
        </w:rPr>
        <w:t>与</w:t>
      </w:r>
      <w:r>
        <w:rPr>
          <w:rFonts w:hint="default" w:ascii="sans-serif" w:hAnsi="sans-serif" w:eastAsia="sans-serif" w:cs="sans-serif"/>
          <w:b/>
          <w:bCs/>
          <w:color w:val="1F1F1F"/>
        </w:rPr>
        <w:t>能源知识图谱</w:t>
      </w:r>
      <w:r>
        <w:rPr>
          <w:rFonts w:hint="default" w:ascii="sans-serif" w:hAnsi="sans-serif" w:eastAsia="sans-serif" w:cs="sans-serif"/>
          <w:color w:val="1F1F1F"/>
        </w:rPr>
        <w:t>将散落在老师傅脑中的经验固化为数字资产，确保生产线的安全与智慧运行。</w:t>
      </w:r>
    </w:p>
    <w:p w14:paraId="7742246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b/>
          <w:bCs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企业职能：财务与法务的“数字外脑”</w:t>
      </w:r>
    </w:p>
    <w:p w14:paraId="2EF861E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财务审核助手</w:t>
      </w:r>
      <w:r>
        <w:rPr>
          <w:rFonts w:hint="default" w:ascii="sans-serif" w:hAnsi="sans-serif" w:eastAsia="sans-serif" w:cs="sans-serif"/>
          <w:color w:val="1F1F1F"/>
        </w:rPr>
        <w:t>与</w:t>
      </w:r>
      <w:r>
        <w:rPr>
          <w:rFonts w:hint="default" w:ascii="sans-serif" w:hAnsi="sans-serif" w:eastAsia="sans-serif" w:cs="sans-serif"/>
          <w:b/>
          <w:bCs/>
          <w:color w:val="1F1F1F"/>
        </w:rPr>
        <w:t>合同审核助手</w:t>
      </w:r>
      <w:r>
        <w:rPr>
          <w:rFonts w:hint="default" w:ascii="sans-serif" w:hAnsi="sans-serif" w:eastAsia="sans-serif" w:cs="sans-serif"/>
          <w:color w:val="1F1F1F"/>
        </w:rPr>
        <w:t>实现了秒级的风控校验，让企业日常运营在严谨与高效间达成平衡。</w:t>
      </w:r>
    </w:p>
    <w:p w14:paraId="1AE1D4E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66690" cy="2483485"/>
            <wp:effectExtent l="0" t="0" r="635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FA5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eastAsiaTheme="minorEastAsia"/>
          <w:lang w:eastAsia="zh-CN"/>
        </w:rPr>
      </w:pPr>
      <w:r>
        <w:rPr>
          <w:rFonts w:hint="default" w:ascii="sans-serif" w:hAnsi="sans-serif" w:eastAsia="sans-serif" w:cs="sans-serif"/>
          <w:color w:val="1F1F1F"/>
        </w:rPr>
        <w:t>业务侧驱动：让最懂场景的人亲手“点石成金”</w:t>
      </w:r>
    </w:p>
    <w:p w14:paraId="5F64E6C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“AI for Scenes”的核心逻辑在于：</w:t>
      </w:r>
      <w:r>
        <w:rPr>
          <w:rFonts w:hint="default" w:ascii="sans-serif" w:hAnsi="sans-serif" w:eastAsia="sans-serif" w:cs="sans-serif"/>
          <w:b/>
          <w:bCs/>
          <w:color w:val="1F1F1F"/>
        </w:rPr>
        <w:t>发现场景痛点的永远是业务一线。</w:t>
      </w:r>
    </w:p>
    <w:p w14:paraId="4553DE8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睿动平台赋予了客户业务侧前所未有的自主权。业务人员可以充分发挥其领域知识（Know-how），在“智创工坊”中通过自然语言直接开发智能体。这种</w:t>
      </w:r>
      <w:r>
        <w:rPr>
          <w:rFonts w:hint="default" w:ascii="sans-serif" w:hAnsi="sans-serif" w:eastAsia="sans-serif" w:cs="sans-serif"/>
          <w:b/>
          <w:bCs/>
          <w:color w:val="1F1F1F"/>
        </w:rPr>
        <w:t>从 MVP（最小可行性产品）到全量交付</w:t>
      </w:r>
      <w:r>
        <w:rPr>
          <w:rFonts w:hint="default" w:ascii="sans-serif" w:hAnsi="sans-serif" w:eastAsia="sans-serif" w:cs="sans-serif"/>
          <w:color w:val="1F1F1F"/>
        </w:rPr>
        <w:t>的极简路径，打破了技术部门与业务部门的壁垒：</w:t>
      </w:r>
    </w:p>
    <w:p w14:paraId="7AE88D7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快速激发</w:t>
      </w:r>
      <w:r>
        <w:rPr>
          <w:rFonts w:hint="default" w:ascii="sans-serif" w:hAnsi="sans-serif" w:eastAsia="sans-serif" w:cs="sans-serif"/>
          <w:color w:val="1F1F1F"/>
        </w:rPr>
        <w:t>：当员工发现 AI 能真正解决那个困扰已久的报表导出或数据比对痛点时，他们对 AI 的态度将从“围观”转为“热拥”。</w:t>
      </w:r>
      <w:r>
        <w:rPr>
          <w:rFonts w:hint="default" w:ascii="sans-serif" w:hAnsi="sans-serif" w:eastAsia="sans-serif" w:cs="sans-serif"/>
          <w:b/>
          <w:bCs/>
          <w:color w:val="1F1F1F"/>
        </w:rPr>
        <w:t>AI-native 进程</w:t>
      </w: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加速</w:t>
      </w:r>
      <w:r>
        <w:rPr>
          <w:rFonts w:hint="default" w:ascii="sans-serif" w:hAnsi="sans-serif" w:eastAsia="sans-serif" w:cs="sans-serif"/>
          <w:color w:val="1F1F1F"/>
        </w:rPr>
        <w:t>：这种去中心化的创新机制，正在加速企业构建“AI原生”的组织基因。</w:t>
      </w:r>
    </w:p>
    <w:p w14:paraId="385AB7B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eastAsia" w:ascii="sans-serif" w:hAnsi="sans-serif" w:eastAsia="宋体" w:cs="sans-serif"/>
          <w:color w:val="1F1F1F"/>
          <w:lang w:eastAsia="zh-CN"/>
        </w:rPr>
      </w:pPr>
      <w:r>
        <w:rPr>
          <w:rFonts w:hint="eastAsia" w:ascii="sans-serif" w:hAnsi="sans-serif" w:eastAsia="宋体" w:cs="sans-serif"/>
          <w:color w:val="1F1F1F"/>
          <w:lang w:eastAsia="zh-CN"/>
        </w:rPr>
        <w:drawing>
          <wp:inline distT="0" distB="0" distL="114300" distR="114300">
            <wp:extent cx="5273040" cy="3093085"/>
            <wp:effectExtent l="0" t="0" r="0" b="635"/>
            <wp:docPr id="4" name="图片 4" descr="演讲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演讲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AA2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三、 工业级底座：为“全量交付”保驾护航</w:t>
      </w:r>
    </w:p>
    <w:p w14:paraId="01F1EE1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80" w:firstLineChars="20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如果说场景试炼是“进攻”，那么安全管控就是“防守”。睿动平台为“AI for Scenes”提供了坚实的工业级保障：</w:t>
      </w:r>
    </w:p>
    <w:p w14:paraId="5FDE739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物理级安全试炼</w:t>
      </w:r>
      <w:r>
        <w:rPr>
          <w:rFonts w:hint="default" w:ascii="sans-serif" w:hAnsi="sans-serif" w:eastAsia="sans-serif" w:cs="sans-serif"/>
          <w:color w:val="1F1F1F"/>
        </w:rPr>
        <w:t>：通过微虚拟机沙箱技术，确保每一个智能体都在隔离环境中运行，保障数据“不出内网”。</w:t>
      </w:r>
    </w:p>
    <w:p w14:paraId="12E0CAE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“第五张报表”的量化治理</w:t>
      </w:r>
      <w:r>
        <w:rPr>
          <w:rFonts w:hint="default" w:ascii="sans-serif" w:hAnsi="sans-serif" w:eastAsia="sans-serif" w:cs="sans-serif"/>
          <w:color w:val="1F1F1F"/>
        </w:rPr>
        <w:t>：继资产负债表等四大报表后，睿动引入了 AI 资产审计。精确到 Token 级别的计费与 ROI 分析，让每一分 AI 投入都能在场景中看到真实的回报。</w:t>
      </w:r>
    </w:p>
    <w:p w14:paraId="1F1F03F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端云协同的最后 100 米</w:t>
      </w:r>
      <w:r>
        <w:rPr>
          <w:rFonts w:hint="default" w:ascii="sans-serif" w:hAnsi="sans-serif" w:eastAsia="sans-serif" w:cs="sans-serif"/>
          <w:color w:val="1F1F1F"/>
        </w:rPr>
        <w:t xml:space="preserve">：通过 </w:t>
      </w:r>
      <w:r>
        <w:rPr>
          <w:rFonts w:hint="default" w:ascii="sans-serif" w:hAnsi="sans-serif" w:eastAsia="sans-serif" w:cs="sans-serif"/>
          <w:b/>
          <w:bCs/>
          <w:color w:val="1F1F1F"/>
        </w:rPr>
        <w:t>睿动 Claw 桌面端</w:t>
      </w:r>
      <w:r>
        <w:rPr>
          <w:rFonts w:hint="default" w:ascii="sans-serif" w:hAnsi="sans-serif" w:eastAsia="sans-serif" w:cs="sans-serif"/>
          <w:color w:val="1F1F1F"/>
        </w:rPr>
        <w:t>，将云端的治理能力直接延伸至员工桌面。无论是 IM 聊天还是文档处理，AI 都能在原生工作场景中随时待命。</w:t>
      </w:r>
    </w:p>
    <w:p w14:paraId="1A677D4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64150" cy="2689860"/>
            <wp:effectExtent l="0" t="0" r="889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4E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结语</w:t>
      </w:r>
    </w:p>
    <w:p w14:paraId="78D6278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80" w:firstLineChars="20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从实验室里的 AI for Science，到每一个业务场景里的 </w:t>
      </w:r>
      <w:r>
        <w:rPr>
          <w:rFonts w:hint="default" w:ascii="sans-serif" w:hAnsi="sans-serif" w:eastAsia="sans-serif" w:cs="sans-serif"/>
          <w:b/>
          <w:bCs/>
          <w:color w:val="1F1F1F"/>
        </w:rPr>
        <w:t>AI for Scenes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A0BF3A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睿动智能体云平台，正在帮助金融、能源及千行百业，将 AI 从一个“昂贵的实验”转变为一套</w:t>
      </w:r>
      <w:r>
        <w:rPr>
          <w:rFonts w:hint="default" w:ascii="sans-serif" w:hAnsi="sans-serif" w:eastAsia="sans-serif" w:cs="sans-serif"/>
          <w:b/>
          <w:bCs/>
          <w:color w:val="1F1F1F"/>
        </w:rPr>
        <w:t>可管、可控、可审计的操作系统</w:t>
      </w:r>
      <w:r>
        <w:rPr>
          <w:rFonts w:hint="default" w:ascii="sans-serif" w:hAnsi="sans-serif" w:eastAsia="sans-serif" w:cs="sans-serif"/>
          <w:color w:val="1F1F1F"/>
        </w:rPr>
        <w:t>。在这里，每一个痛点都是创新的火种，每一次试炼都是全量交付的前奏。</w:t>
      </w:r>
    </w:p>
    <w:p w14:paraId="087D1E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睿动，让 AI 在场景中生长，让价值在实战中绽放。</w:t>
      </w:r>
    </w:p>
    <w:p w14:paraId="6355AF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013F03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20126"/>
    <w:multiLevelType w:val="singleLevel"/>
    <w:tmpl w:val="9EC20126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D3906"/>
    <w:rsid w:val="7B38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1101</Words>
  <Characters>1228</Characters>
  <Lines>0</Lines>
  <Paragraphs>0</Paragraphs>
  <TotalTime>13</TotalTime>
  <ScaleCrop>false</ScaleCrop>
  <LinksUpToDate>false</LinksUpToDate>
  <CharactersWithSpaces>1285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2026-04-15T07:11:00Z</dcterms:created>
  <dc:creator>issuser</dc:creator>
  <cp:lastModifiedBy>千与千寻</cp:lastModifiedBy>
  <dcterms:modified xsi:type="dcterms:W3CDTF">2026-04-15T07:36:26Z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eyJoZGlkIjoiODNmZTRmZTUyOTEwOWNiMzg0Y2VlZDVjODk0OWIzNzEiLCJ1c2VySWQiOiI2MzM3Njc4MDYifQ==</vt:lpwstr>
  </property>
  <property fmtid="{D5CDD505-2E9C-101B-9397-08002B2CF9AE}" pid="4" name="ICV">
    <vt:lpwstr>1FED5F53767048079B9A7C1866ECADFB_12</vt:lpwstr>
  </property>
</Properties>
</file>