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9A56" w14:textId="77777777" w:rsidR="008350BE" w:rsidRDefault="008350BE"/>
    <w:p w14:paraId="55077BFB" w14:textId="77777777" w:rsidR="008350BE" w:rsidRDefault="00000000">
      <w:pPr>
        <w:jc w:val="center"/>
      </w:pPr>
      <w:proofErr w:type="spellStart"/>
      <w:r>
        <w:rPr>
          <w:b/>
          <w:bCs/>
          <w:color w:val="0A7E8C"/>
          <w:sz w:val="52"/>
          <w:szCs w:val="52"/>
        </w:rPr>
        <w:t>ClimRisk</w:t>
      </w:r>
      <w:proofErr w:type="spellEnd"/>
    </w:p>
    <w:p w14:paraId="1B2C2281" w14:textId="77777777" w:rsidR="008350BE" w:rsidRDefault="00000000">
      <w:pPr>
        <w:spacing w:after="40"/>
        <w:jc w:val="center"/>
      </w:pPr>
      <w:r>
        <w:rPr>
          <w:color w:val="6B7280"/>
          <w:sz w:val="28"/>
          <w:szCs w:val="28"/>
        </w:rPr>
        <w:t>Climate Risk Intelligence</w:t>
      </w:r>
    </w:p>
    <w:p w14:paraId="07346BEF" w14:textId="77777777" w:rsidR="008350BE" w:rsidRDefault="00000000">
      <w:pPr>
        <w:spacing w:after="60"/>
        <w:jc w:val="center"/>
      </w:pPr>
      <w:r>
        <w:rPr>
          <w:color w:val="0A7E8C"/>
        </w:rPr>
        <w:t>─────────────────────────────────────────</w:t>
      </w:r>
    </w:p>
    <w:p w14:paraId="011D64BA" w14:textId="77777777" w:rsidR="008350BE" w:rsidRDefault="00000000">
      <w:pPr>
        <w:jc w:val="center"/>
      </w:pPr>
      <w:r>
        <w:rPr>
          <w:b/>
          <w:bCs/>
          <w:color w:val="0D2B45"/>
          <w:sz w:val="40"/>
          <w:szCs w:val="40"/>
        </w:rPr>
        <w:t>CRI Engine v0.3</w:t>
      </w:r>
    </w:p>
    <w:p w14:paraId="5FADF030" w14:textId="77777777" w:rsidR="008350BE" w:rsidRDefault="00000000">
      <w:pPr>
        <w:spacing w:after="40"/>
        <w:jc w:val="center"/>
      </w:pPr>
      <w:r>
        <w:rPr>
          <w:color w:val="0D2B45"/>
          <w:sz w:val="36"/>
          <w:szCs w:val="36"/>
        </w:rPr>
        <w:t>Methodology Overview</w:t>
      </w:r>
    </w:p>
    <w:p w14:paraId="2EE43942" w14:textId="77777777" w:rsidR="008350BE" w:rsidRDefault="00000000">
      <w:pPr>
        <w:spacing w:after="320"/>
        <w:jc w:val="center"/>
      </w:pPr>
      <w:r>
        <w:rPr>
          <w:i/>
          <w:iCs/>
          <w:color w:val="0A7E8C"/>
          <w:sz w:val="24"/>
          <w:szCs w:val="24"/>
        </w:rPr>
        <w:t>Partnership Edition</w:t>
      </w:r>
    </w:p>
    <w:p w14:paraId="0475536D" w14:textId="77777777" w:rsidR="008350BE" w:rsidRDefault="008350BE"/>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4550"/>
      </w:tblGrid>
      <w:tr w:rsidR="008350BE" w14:paraId="36877CB9" w14:textId="77777777">
        <w:tblPrEx>
          <w:tblCellMar>
            <w:top w:w="0" w:type="dxa"/>
            <w:bottom w:w="0" w:type="dxa"/>
          </w:tblCellMar>
        </w:tblPrEx>
        <w:trPr>
          <w:jc w:val="center"/>
        </w:trPr>
        <w:tc>
          <w:tcPr>
            <w:tcW w:w="2800" w:type="dxa"/>
            <w:tcBorders>
              <w:bottom w:val="single" w:sz="4" w:space="0" w:color="E5E7EB"/>
            </w:tcBorders>
          </w:tcPr>
          <w:p w14:paraId="240E23CA" w14:textId="77777777" w:rsidR="008350BE" w:rsidRDefault="00000000">
            <w:r>
              <w:rPr>
                <w:b/>
                <w:bCs/>
                <w:color w:val="6B7280"/>
              </w:rPr>
              <w:t>Prepared by</w:t>
            </w:r>
          </w:p>
        </w:tc>
        <w:tc>
          <w:tcPr>
            <w:tcW w:w="6560" w:type="dxa"/>
            <w:tcBorders>
              <w:bottom w:val="single" w:sz="4" w:space="0" w:color="E5E7EB"/>
            </w:tcBorders>
          </w:tcPr>
          <w:p w14:paraId="4D7FAFC8" w14:textId="77777777" w:rsidR="008350BE" w:rsidRDefault="00000000">
            <w:proofErr w:type="spellStart"/>
            <w:r>
              <w:rPr>
                <w:color w:val="111827"/>
              </w:rPr>
              <w:t>ClimRisk</w:t>
            </w:r>
            <w:proofErr w:type="spellEnd"/>
            <w:r>
              <w:rPr>
                <w:color w:val="111827"/>
              </w:rPr>
              <w:t xml:space="preserve"> · </w:t>
            </w:r>
            <w:proofErr w:type="spellStart"/>
            <w:r>
              <w:rPr>
                <w:color w:val="111827"/>
              </w:rPr>
              <w:t>Shrinivashdkannan</w:t>
            </w:r>
            <w:proofErr w:type="spellEnd"/>
          </w:p>
        </w:tc>
      </w:tr>
      <w:tr w:rsidR="008350BE" w14:paraId="48338DF0" w14:textId="77777777">
        <w:tblPrEx>
          <w:tblCellMar>
            <w:top w:w="0" w:type="dxa"/>
            <w:bottom w:w="0" w:type="dxa"/>
          </w:tblCellMar>
        </w:tblPrEx>
        <w:trPr>
          <w:jc w:val="center"/>
        </w:trPr>
        <w:tc>
          <w:tcPr>
            <w:tcW w:w="2800" w:type="dxa"/>
            <w:tcBorders>
              <w:bottom w:val="single" w:sz="4" w:space="0" w:color="E5E7EB"/>
            </w:tcBorders>
          </w:tcPr>
          <w:p w14:paraId="06C8A2B9" w14:textId="77777777" w:rsidR="008350BE" w:rsidRDefault="00000000">
            <w:r>
              <w:rPr>
                <w:b/>
                <w:bCs/>
                <w:color w:val="6B7280"/>
              </w:rPr>
              <w:t>Prepared for</w:t>
            </w:r>
          </w:p>
        </w:tc>
        <w:tc>
          <w:tcPr>
            <w:tcW w:w="6560" w:type="dxa"/>
            <w:tcBorders>
              <w:bottom w:val="single" w:sz="4" w:space="0" w:color="E5E7EB"/>
            </w:tcBorders>
          </w:tcPr>
          <w:p w14:paraId="5A173AB1" w14:textId="77777777" w:rsidR="008350BE" w:rsidRDefault="00000000">
            <w:r>
              <w:rPr>
                <w:color w:val="111827"/>
              </w:rPr>
              <w:t>Morelli Consulting (Confidential)</w:t>
            </w:r>
          </w:p>
        </w:tc>
      </w:tr>
      <w:tr w:rsidR="008350BE" w14:paraId="7B9ED187" w14:textId="77777777">
        <w:tblPrEx>
          <w:tblCellMar>
            <w:top w:w="0" w:type="dxa"/>
            <w:bottom w:w="0" w:type="dxa"/>
          </w:tblCellMar>
        </w:tblPrEx>
        <w:trPr>
          <w:jc w:val="center"/>
        </w:trPr>
        <w:tc>
          <w:tcPr>
            <w:tcW w:w="2800" w:type="dxa"/>
            <w:tcBorders>
              <w:bottom w:val="single" w:sz="4" w:space="0" w:color="E5E7EB"/>
            </w:tcBorders>
          </w:tcPr>
          <w:p w14:paraId="7CD910C4" w14:textId="77777777" w:rsidR="008350BE" w:rsidRDefault="00000000">
            <w:r>
              <w:rPr>
                <w:b/>
                <w:bCs/>
                <w:color w:val="6B7280"/>
              </w:rPr>
              <w:t>Document type</w:t>
            </w:r>
          </w:p>
        </w:tc>
        <w:tc>
          <w:tcPr>
            <w:tcW w:w="6560" w:type="dxa"/>
            <w:tcBorders>
              <w:bottom w:val="single" w:sz="4" w:space="0" w:color="E5E7EB"/>
            </w:tcBorders>
          </w:tcPr>
          <w:p w14:paraId="2E653494" w14:textId="77777777" w:rsidR="008350BE" w:rsidRDefault="00000000">
            <w:r>
              <w:rPr>
                <w:color w:val="111827"/>
              </w:rPr>
              <w:t>Partnership methodology overview — Tier 2</w:t>
            </w:r>
          </w:p>
        </w:tc>
      </w:tr>
      <w:tr w:rsidR="008350BE" w14:paraId="615CE710" w14:textId="77777777">
        <w:tblPrEx>
          <w:tblCellMar>
            <w:top w:w="0" w:type="dxa"/>
            <w:bottom w:w="0" w:type="dxa"/>
          </w:tblCellMar>
        </w:tblPrEx>
        <w:trPr>
          <w:jc w:val="center"/>
        </w:trPr>
        <w:tc>
          <w:tcPr>
            <w:tcW w:w="2800" w:type="dxa"/>
            <w:tcBorders>
              <w:bottom w:val="single" w:sz="4" w:space="0" w:color="E5E7EB"/>
            </w:tcBorders>
          </w:tcPr>
          <w:p w14:paraId="16D917FD" w14:textId="77777777" w:rsidR="008350BE" w:rsidRDefault="00000000">
            <w:r>
              <w:rPr>
                <w:b/>
                <w:bCs/>
                <w:color w:val="6B7280"/>
              </w:rPr>
              <w:t>Engine version</w:t>
            </w:r>
          </w:p>
        </w:tc>
        <w:tc>
          <w:tcPr>
            <w:tcW w:w="6560" w:type="dxa"/>
            <w:tcBorders>
              <w:bottom w:val="single" w:sz="4" w:space="0" w:color="E5E7EB"/>
            </w:tcBorders>
          </w:tcPr>
          <w:p w14:paraId="217A06A0" w14:textId="77777777" w:rsidR="008350BE" w:rsidRDefault="00000000">
            <w:r>
              <w:rPr>
                <w:color w:val="111827"/>
              </w:rPr>
              <w:t>CRI v0.3 (April 2026)</w:t>
            </w:r>
          </w:p>
        </w:tc>
      </w:tr>
      <w:tr w:rsidR="008350BE" w14:paraId="7917C4A1" w14:textId="77777777">
        <w:tblPrEx>
          <w:tblCellMar>
            <w:top w:w="0" w:type="dxa"/>
            <w:bottom w:w="0" w:type="dxa"/>
          </w:tblCellMar>
        </w:tblPrEx>
        <w:trPr>
          <w:jc w:val="center"/>
        </w:trPr>
        <w:tc>
          <w:tcPr>
            <w:tcW w:w="2800" w:type="dxa"/>
            <w:tcBorders>
              <w:bottom w:val="single" w:sz="4" w:space="0" w:color="E5E7EB"/>
            </w:tcBorders>
          </w:tcPr>
          <w:p w14:paraId="441940D5" w14:textId="77777777" w:rsidR="008350BE" w:rsidRDefault="00000000">
            <w:r>
              <w:rPr>
                <w:b/>
                <w:bCs/>
                <w:color w:val="6B7280"/>
              </w:rPr>
              <w:t>Classification</w:t>
            </w:r>
          </w:p>
        </w:tc>
        <w:tc>
          <w:tcPr>
            <w:tcW w:w="6560" w:type="dxa"/>
            <w:tcBorders>
              <w:bottom w:val="single" w:sz="4" w:space="0" w:color="E5E7EB"/>
            </w:tcBorders>
          </w:tcPr>
          <w:p w14:paraId="17D8F410" w14:textId="77777777" w:rsidR="008350BE" w:rsidRDefault="00000000">
            <w:r>
              <w:rPr>
                <w:color w:val="111827"/>
              </w:rPr>
              <w:t>Confidential — not for further distribution</w:t>
            </w:r>
          </w:p>
        </w:tc>
      </w:tr>
      <w:tr w:rsidR="008350BE" w14:paraId="7EBA71EA" w14:textId="77777777">
        <w:tblPrEx>
          <w:tblCellMar>
            <w:top w:w="0" w:type="dxa"/>
            <w:bottom w:w="0" w:type="dxa"/>
          </w:tblCellMar>
        </w:tblPrEx>
        <w:trPr>
          <w:jc w:val="center"/>
        </w:trPr>
        <w:tc>
          <w:tcPr>
            <w:tcW w:w="2800" w:type="dxa"/>
            <w:tcBorders>
              <w:bottom w:val="single" w:sz="4" w:space="0" w:color="E5E7EB"/>
            </w:tcBorders>
          </w:tcPr>
          <w:p w14:paraId="1FDF44E2" w14:textId="77777777" w:rsidR="008350BE" w:rsidRDefault="00000000">
            <w:r>
              <w:rPr>
                <w:b/>
                <w:bCs/>
                <w:color w:val="6B7280"/>
              </w:rPr>
              <w:t>Contact</w:t>
            </w:r>
          </w:p>
        </w:tc>
        <w:tc>
          <w:tcPr>
            <w:tcW w:w="6560" w:type="dxa"/>
            <w:tcBorders>
              <w:bottom w:val="single" w:sz="4" w:space="0" w:color="E5E7EB"/>
            </w:tcBorders>
          </w:tcPr>
          <w:p w14:paraId="53625742" w14:textId="77777777" w:rsidR="008350BE" w:rsidRDefault="00000000">
            <w:r>
              <w:rPr>
                <w:color w:val="111827"/>
              </w:rPr>
              <w:t>shrinivashdkannan@gmail.com</w:t>
            </w:r>
          </w:p>
        </w:tc>
      </w:tr>
    </w:tbl>
    <w:p w14:paraId="51B11046" w14:textId="77777777" w:rsidR="008350BE" w:rsidRDefault="008350BE"/>
    <w:p w14:paraId="10CA276C" w14:textId="77777777" w:rsidR="008350BE" w:rsidRDefault="00000000">
      <w:pPr>
        <w:pBdr>
          <w:left w:val="single" w:sz="12" w:space="0" w:color="0A7E8C"/>
        </w:pBdr>
        <w:spacing w:after="80"/>
        <w:ind w:left="360"/>
      </w:pPr>
      <w:r>
        <w:rPr>
          <w:i/>
          <w:iCs/>
          <w:color w:val="6B7280"/>
          <w:sz w:val="18"/>
          <w:szCs w:val="18"/>
        </w:rPr>
        <w:t>This document summarises the scientific foundations, data sources, and regulatory alignment of the CRI Engine. Proprietary calibration parameters, exact model weights, and implementation details are withheld pending a formal partnership agreement.</w:t>
      </w:r>
    </w:p>
    <w:p w14:paraId="3657137B" w14:textId="77777777" w:rsidR="008350BE" w:rsidRDefault="00000000">
      <w:r>
        <w:br w:type="page"/>
      </w:r>
    </w:p>
    <w:p w14:paraId="459326D5" w14:textId="77777777" w:rsidR="008350BE" w:rsidRDefault="00000000">
      <w:pPr>
        <w:pBdr>
          <w:bottom w:val="single" w:sz="8" w:space="0" w:color="0A7E8C"/>
        </w:pBdr>
        <w:spacing w:before="360" w:after="120"/>
      </w:pPr>
      <w:r>
        <w:rPr>
          <w:b/>
          <w:bCs/>
          <w:color w:val="0D2B45"/>
          <w:sz w:val="32"/>
          <w:szCs w:val="32"/>
        </w:rPr>
        <w:lastRenderedPageBreak/>
        <w:t>1. Executive Summary</w:t>
      </w:r>
    </w:p>
    <w:p w14:paraId="3945885B" w14:textId="77777777" w:rsidR="008350BE" w:rsidRDefault="00000000">
      <w:pPr>
        <w:spacing w:after="100"/>
        <w:jc w:val="both"/>
      </w:pPr>
      <w:r>
        <w:rPr>
          <w:color w:val="111827"/>
        </w:rPr>
        <w:t>The Climate Risk Intelligence (CRI) Engine is a quantitative framework that translates physical climate science and transition economics into asset-level financial risk metrics. It is designed to support regulatory disclosures under TCFD, IFRS S2, CSRD, the ECB's Guide on climate-related financial risks, and ASRS E1, while remaining actionable for investment and portfolio management decisions.</w:t>
      </w:r>
    </w:p>
    <w:p w14:paraId="3B8CCFC5" w14:textId="77777777" w:rsidR="008350BE" w:rsidRDefault="00000000">
      <w:pPr>
        <w:spacing w:after="100"/>
        <w:jc w:val="both"/>
      </w:pPr>
      <w:r>
        <w:rPr>
          <w:color w:val="111827"/>
        </w:rPr>
        <w:t>The engine assesses ten acute and chronic physical hazards, four transition risk channels, and three financial impact pathways across any asset with a known GPS coordinate or regional classification. Outputs are fully auditable — every number traces to a published peer-reviewed source or regulatory reference.</w:t>
      </w:r>
    </w:p>
    <w:p w14:paraId="240B81B3" w14:textId="77777777" w:rsidR="008350BE" w:rsidRDefault="008350BE"/>
    <w:p w14:paraId="687B6E4A" w14:textId="77777777" w:rsidR="008350BE" w:rsidRDefault="00000000">
      <w:pPr>
        <w:spacing w:after="100"/>
        <w:jc w:val="both"/>
      </w:pPr>
      <w:r>
        <w:rPr>
          <w:b/>
          <w:bCs/>
          <w:color w:val="111827"/>
        </w:rPr>
        <w:t>Key differentiators versus peer platforms:</w:t>
      </w:r>
    </w:p>
    <w:p w14:paraId="62430AE9" w14:textId="77777777" w:rsidR="008350BE" w:rsidRDefault="00000000">
      <w:pPr>
        <w:pStyle w:val="ListParagraph"/>
        <w:numPr>
          <w:ilvl w:val="0"/>
          <w:numId w:val="1"/>
        </w:numPr>
        <w:spacing w:after="60"/>
      </w:pPr>
      <w:r>
        <w:rPr>
          <w:b/>
          <w:bCs/>
          <w:color w:val="0A7E8C"/>
        </w:rPr>
        <w:t xml:space="preserve">→ </w:t>
      </w:r>
      <w:r>
        <w:rPr>
          <w:color w:val="111827"/>
        </w:rPr>
        <w:t>End-to-end regulatory alignment with IPCC AR6, TCFD, IFRS S2, CSRD, and EBA Pillar 3 simultaneously — not retrofitted.</w:t>
      </w:r>
    </w:p>
    <w:p w14:paraId="41067A6A" w14:textId="77777777" w:rsidR="008350BE" w:rsidRDefault="00000000">
      <w:pPr>
        <w:pStyle w:val="ListParagraph"/>
        <w:numPr>
          <w:ilvl w:val="0"/>
          <w:numId w:val="1"/>
        </w:numPr>
        <w:spacing w:after="60"/>
      </w:pPr>
      <w:r>
        <w:rPr>
          <w:b/>
          <w:bCs/>
          <w:color w:val="0A7E8C"/>
        </w:rPr>
        <w:t xml:space="preserve">→ </w:t>
      </w:r>
      <w:r>
        <w:rPr>
          <w:color w:val="111827"/>
        </w:rPr>
        <w:t>GPS-level precision via spatial downscaling from 25km climate grids to exact asset coordinates — no grid-cell approximation.</w:t>
      </w:r>
    </w:p>
    <w:p w14:paraId="30931252" w14:textId="77777777" w:rsidR="008350BE" w:rsidRDefault="00000000">
      <w:pPr>
        <w:pStyle w:val="ListParagraph"/>
        <w:numPr>
          <w:ilvl w:val="0"/>
          <w:numId w:val="1"/>
        </w:numPr>
        <w:spacing w:after="60"/>
      </w:pPr>
      <w:r>
        <w:rPr>
          <w:b/>
          <w:bCs/>
          <w:color w:val="0A7E8C"/>
        </w:rPr>
        <w:t xml:space="preserve">→ </w:t>
      </w:r>
      <w:r>
        <w:rPr>
          <w:color w:val="111827"/>
        </w:rPr>
        <w:t>Live meteorological baseline fetched from ERA5 reanalysis at each asset's coordinates, updated on-demand.</w:t>
      </w:r>
    </w:p>
    <w:p w14:paraId="15329727" w14:textId="77777777" w:rsidR="008350BE" w:rsidRDefault="00000000">
      <w:pPr>
        <w:pStyle w:val="ListParagraph"/>
        <w:numPr>
          <w:ilvl w:val="0"/>
          <w:numId w:val="1"/>
        </w:numPr>
        <w:spacing w:after="60"/>
      </w:pPr>
      <w:r>
        <w:rPr>
          <w:b/>
          <w:bCs/>
          <w:color w:val="0A7E8C"/>
        </w:rPr>
        <w:t xml:space="preserve">→ </w:t>
      </w:r>
      <w:r>
        <w:rPr>
          <w:color w:val="111827"/>
        </w:rPr>
        <w:t>Transparent audit trail: every hazard score, every data source, every formula linkage is disclosed in the output.</w:t>
      </w:r>
    </w:p>
    <w:p w14:paraId="50DD71F5" w14:textId="77777777" w:rsidR="008350BE" w:rsidRDefault="00000000">
      <w:pPr>
        <w:pStyle w:val="ListParagraph"/>
        <w:numPr>
          <w:ilvl w:val="0"/>
          <w:numId w:val="1"/>
        </w:numPr>
        <w:spacing w:after="60"/>
      </w:pPr>
      <w:r>
        <w:rPr>
          <w:b/>
          <w:bCs/>
          <w:color w:val="0A7E8C"/>
        </w:rPr>
        <w:t xml:space="preserve">→ </w:t>
      </w:r>
      <w:r>
        <w:rPr>
          <w:color w:val="111827"/>
        </w:rPr>
        <w:t xml:space="preserve">Designed for financial professionals: outputs map directly to </w:t>
      </w:r>
      <w:proofErr w:type="spellStart"/>
      <w:r>
        <w:rPr>
          <w:color w:val="111827"/>
        </w:rPr>
        <w:t>CaR</w:t>
      </w:r>
      <w:proofErr w:type="spellEnd"/>
      <w:r>
        <w:rPr>
          <w:color w:val="111827"/>
        </w:rPr>
        <w:t xml:space="preserve"> (Climate at Risk), EV impact, and cost-of-capital adjustment.</w:t>
      </w:r>
    </w:p>
    <w:p w14:paraId="5A69A615" w14:textId="77777777" w:rsidR="008350BE" w:rsidRDefault="008350BE"/>
    <w:p w14:paraId="22156AEB" w14:textId="77777777" w:rsidR="008350BE" w:rsidRDefault="00000000">
      <w:r>
        <w:br w:type="page"/>
      </w:r>
    </w:p>
    <w:p w14:paraId="2AB37371" w14:textId="77777777" w:rsidR="008350BE" w:rsidRDefault="00000000">
      <w:pPr>
        <w:pBdr>
          <w:bottom w:val="single" w:sz="8" w:space="0" w:color="0A7E8C"/>
        </w:pBdr>
        <w:spacing w:before="360" w:after="120"/>
      </w:pPr>
      <w:r>
        <w:rPr>
          <w:b/>
          <w:bCs/>
          <w:color w:val="0D2B45"/>
          <w:sz w:val="32"/>
          <w:szCs w:val="32"/>
        </w:rPr>
        <w:lastRenderedPageBreak/>
        <w:t>2. Assessment Framework</w:t>
      </w:r>
    </w:p>
    <w:p w14:paraId="41608720" w14:textId="77777777" w:rsidR="008350BE" w:rsidRDefault="00000000">
      <w:pPr>
        <w:spacing w:before="280" w:after="80"/>
      </w:pPr>
      <w:r>
        <w:rPr>
          <w:b/>
          <w:bCs/>
          <w:color w:val="0A7E8C"/>
          <w:sz w:val="24"/>
          <w:szCs w:val="24"/>
        </w:rPr>
        <w:t>2.1 Three-Pillar Structure</w:t>
      </w:r>
    </w:p>
    <w:p w14:paraId="2F2C9EA2" w14:textId="77777777" w:rsidR="008350BE" w:rsidRDefault="00000000">
      <w:pPr>
        <w:spacing w:after="100"/>
        <w:jc w:val="both"/>
      </w:pPr>
      <w:r>
        <w:rPr>
          <w:color w:val="111827"/>
        </w:rPr>
        <w:t>Every company or portfolio assessed through the CRI Engine is evaluated across three interconnected pillars. The composite Climate Rating reflects the weighted average of all three.</w:t>
      </w:r>
    </w:p>
    <w:p w14:paraId="5DCE75AE"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34228371"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54858354" w14:textId="77777777" w:rsidR="008350BE" w:rsidRDefault="00000000">
            <w:r>
              <w:rPr>
                <w:b/>
                <w:bCs/>
                <w:color w:val="0D2B45"/>
                <w:sz w:val="18"/>
                <w:szCs w:val="18"/>
              </w:rPr>
              <w:t>Physical Risk</w:t>
            </w:r>
          </w:p>
        </w:tc>
        <w:tc>
          <w:tcPr>
            <w:tcW w:w="4160" w:type="dxa"/>
            <w:tcMar>
              <w:top w:w="80" w:type="dxa"/>
              <w:left w:w="100" w:type="dxa"/>
              <w:bottom w:w="80" w:type="dxa"/>
              <w:right w:w="100" w:type="dxa"/>
            </w:tcMar>
          </w:tcPr>
          <w:p w14:paraId="210C15AB" w14:textId="77777777" w:rsidR="008350BE" w:rsidRDefault="00000000">
            <w:r>
              <w:rPr>
                <w:color w:val="111827"/>
                <w:sz w:val="18"/>
                <w:szCs w:val="18"/>
              </w:rPr>
              <w:t>Site-level exposure to 10 climate hazards under SSP1-2.6 through SSP5-8.5. Scored 0–100, maps to annual production loss % and Capital at Risk.</w:t>
            </w:r>
          </w:p>
        </w:tc>
        <w:tc>
          <w:tcPr>
            <w:tcW w:w="2800" w:type="dxa"/>
            <w:tcMar>
              <w:top w:w="80" w:type="dxa"/>
              <w:left w:w="100" w:type="dxa"/>
              <w:bottom w:w="80" w:type="dxa"/>
              <w:right w:w="100" w:type="dxa"/>
            </w:tcMar>
          </w:tcPr>
          <w:p w14:paraId="67A80707" w14:textId="77777777" w:rsidR="008350BE" w:rsidRDefault="00000000">
            <w:r>
              <w:rPr>
                <w:i/>
                <w:iCs/>
                <w:color w:val="6B7280"/>
                <w:sz w:val="18"/>
                <w:szCs w:val="18"/>
              </w:rPr>
              <w:t>35% of composite rating</w:t>
            </w:r>
          </w:p>
        </w:tc>
      </w:tr>
      <w:tr w:rsidR="008350BE" w14:paraId="56BC0DA2"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B194F1C" w14:textId="77777777" w:rsidR="008350BE" w:rsidRDefault="00000000">
            <w:r>
              <w:rPr>
                <w:b/>
                <w:bCs/>
                <w:color w:val="0D2B45"/>
                <w:sz w:val="18"/>
                <w:szCs w:val="18"/>
              </w:rPr>
              <w:t>Transition Risk</w:t>
            </w:r>
          </w:p>
        </w:tc>
        <w:tc>
          <w:tcPr>
            <w:tcW w:w="4160" w:type="dxa"/>
            <w:tcMar>
              <w:top w:w="80" w:type="dxa"/>
              <w:left w:w="100" w:type="dxa"/>
              <w:bottom w:w="80" w:type="dxa"/>
              <w:right w:w="100" w:type="dxa"/>
            </w:tcMar>
          </w:tcPr>
          <w:p w14:paraId="04FC9C79" w14:textId="77777777" w:rsidR="008350BE" w:rsidRDefault="00000000">
            <w:r>
              <w:rPr>
                <w:color w:val="111827"/>
                <w:sz w:val="18"/>
                <w:szCs w:val="18"/>
              </w:rPr>
              <w:t>Carbon price path, commodity demand shift, and technology disruption under NZE, Delayed Transition, and Current Policies scenarios. Scored 0–100.</w:t>
            </w:r>
          </w:p>
        </w:tc>
        <w:tc>
          <w:tcPr>
            <w:tcW w:w="2800" w:type="dxa"/>
            <w:tcMar>
              <w:top w:w="80" w:type="dxa"/>
              <w:left w:w="100" w:type="dxa"/>
              <w:bottom w:w="80" w:type="dxa"/>
              <w:right w:w="100" w:type="dxa"/>
            </w:tcMar>
          </w:tcPr>
          <w:p w14:paraId="6A0B8361" w14:textId="77777777" w:rsidR="008350BE" w:rsidRDefault="00000000">
            <w:r>
              <w:rPr>
                <w:i/>
                <w:iCs/>
                <w:color w:val="6B7280"/>
                <w:sz w:val="18"/>
                <w:szCs w:val="18"/>
              </w:rPr>
              <w:t>35% of composite rating</w:t>
            </w:r>
          </w:p>
        </w:tc>
      </w:tr>
      <w:tr w:rsidR="008350BE" w14:paraId="7FE51855"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763E130" w14:textId="77777777" w:rsidR="008350BE" w:rsidRDefault="00000000">
            <w:r>
              <w:rPr>
                <w:b/>
                <w:bCs/>
                <w:color w:val="0D2B45"/>
                <w:sz w:val="18"/>
                <w:szCs w:val="18"/>
              </w:rPr>
              <w:t>Financial Impact</w:t>
            </w:r>
          </w:p>
        </w:tc>
        <w:tc>
          <w:tcPr>
            <w:tcW w:w="4160" w:type="dxa"/>
            <w:tcMar>
              <w:top w:w="80" w:type="dxa"/>
              <w:left w:w="100" w:type="dxa"/>
              <w:bottom w:w="80" w:type="dxa"/>
              <w:right w:w="100" w:type="dxa"/>
            </w:tcMar>
          </w:tcPr>
          <w:p w14:paraId="1DC2A00B" w14:textId="77777777" w:rsidR="008350BE" w:rsidRDefault="00000000">
            <w:r>
              <w:rPr>
                <w:color w:val="111827"/>
                <w:sz w:val="18"/>
                <w:szCs w:val="18"/>
              </w:rPr>
              <w:t>Revenue and EBITDA sensitivity, WACC uplift, Capital at Risk (</w:t>
            </w:r>
            <w:proofErr w:type="spellStart"/>
            <w:r>
              <w:rPr>
                <w:color w:val="111827"/>
                <w:sz w:val="18"/>
                <w:szCs w:val="18"/>
              </w:rPr>
              <w:t>CaR</w:t>
            </w:r>
            <w:proofErr w:type="spellEnd"/>
            <w:r>
              <w:rPr>
                <w:color w:val="111827"/>
                <w:sz w:val="18"/>
                <w:szCs w:val="18"/>
              </w:rPr>
              <w:t>), and equity/debt impairment modelling. Calibrated to company financials.</w:t>
            </w:r>
          </w:p>
        </w:tc>
        <w:tc>
          <w:tcPr>
            <w:tcW w:w="2800" w:type="dxa"/>
            <w:tcMar>
              <w:top w:w="80" w:type="dxa"/>
              <w:left w:w="100" w:type="dxa"/>
              <w:bottom w:w="80" w:type="dxa"/>
              <w:right w:w="100" w:type="dxa"/>
            </w:tcMar>
          </w:tcPr>
          <w:p w14:paraId="4E8282EA" w14:textId="77777777" w:rsidR="008350BE" w:rsidRDefault="00000000">
            <w:r>
              <w:rPr>
                <w:i/>
                <w:iCs/>
                <w:color w:val="6B7280"/>
                <w:sz w:val="18"/>
                <w:szCs w:val="18"/>
              </w:rPr>
              <w:t>30% of composite rating</w:t>
            </w:r>
          </w:p>
        </w:tc>
      </w:tr>
    </w:tbl>
    <w:p w14:paraId="12E3601B" w14:textId="77777777" w:rsidR="008350BE" w:rsidRDefault="008350BE"/>
    <w:p w14:paraId="37EA9C96" w14:textId="77777777" w:rsidR="008350BE" w:rsidRDefault="00000000">
      <w:pPr>
        <w:spacing w:before="280" w:after="80"/>
      </w:pPr>
      <w:r>
        <w:rPr>
          <w:b/>
          <w:bCs/>
          <w:color w:val="0A7E8C"/>
          <w:sz w:val="24"/>
          <w:szCs w:val="24"/>
        </w:rPr>
        <w:t>2.2 Scenario Coverage</w:t>
      </w:r>
    </w:p>
    <w:p w14:paraId="3E8609D9" w14:textId="77777777" w:rsidR="008350BE" w:rsidRDefault="00000000">
      <w:pPr>
        <w:spacing w:after="100"/>
        <w:jc w:val="both"/>
      </w:pPr>
      <w:r>
        <w:rPr>
          <w:color w:val="111827"/>
        </w:rPr>
        <w:t>The engine natively supports the following internationally recognised climate scenarios:</w:t>
      </w:r>
    </w:p>
    <w:p w14:paraId="37349E21"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612CC0AF"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78A318B9" w14:textId="77777777" w:rsidR="008350BE" w:rsidRDefault="00000000">
            <w:r>
              <w:rPr>
                <w:b/>
                <w:bCs/>
                <w:color w:val="0D2B45"/>
                <w:sz w:val="18"/>
                <w:szCs w:val="18"/>
              </w:rPr>
              <w:t>SSP1-2.6 / NZE</w:t>
            </w:r>
          </w:p>
        </w:tc>
        <w:tc>
          <w:tcPr>
            <w:tcW w:w="4160" w:type="dxa"/>
            <w:tcMar>
              <w:top w:w="80" w:type="dxa"/>
              <w:left w:w="100" w:type="dxa"/>
              <w:bottom w:w="80" w:type="dxa"/>
              <w:right w:w="100" w:type="dxa"/>
            </w:tcMar>
          </w:tcPr>
          <w:p w14:paraId="23F86F04" w14:textId="77777777" w:rsidR="008350BE" w:rsidRDefault="00000000">
            <w:r>
              <w:rPr>
                <w:color w:val="111827"/>
                <w:sz w:val="18"/>
                <w:szCs w:val="18"/>
              </w:rPr>
              <w:t>Net Zero by 2050. ~1.5°C warming. High transition costs, low physical risk.</w:t>
            </w:r>
          </w:p>
        </w:tc>
        <w:tc>
          <w:tcPr>
            <w:tcW w:w="2800" w:type="dxa"/>
            <w:tcMar>
              <w:top w:w="80" w:type="dxa"/>
              <w:left w:w="100" w:type="dxa"/>
              <w:bottom w:w="80" w:type="dxa"/>
              <w:right w:w="100" w:type="dxa"/>
            </w:tcMar>
          </w:tcPr>
          <w:p w14:paraId="0CC79F08" w14:textId="77777777" w:rsidR="008350BE" w:rsidRDefault="00000000">
            <w:r>
              <w:rPr>
                <w:i/>
                <w:iCs/>
                <w:color w:val="6B7280"/>
                <w:sz w:val="18"/>
                <w:szCs w:val="18"/>
              </w:rPr>
              <w:t>IPCC AR6 · IEA NZE 2050</w:t>
            </w:r>
          </w:p>
        </w:tc>
      </w:tr>
      <w:tr w:rsidR="008350BE" w14:paraId="0896A978"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CE8DE0E" w14:textId="77777777" w:rsidR="008350BE" w:rsidRDefault="00000000">
            <w:r>
              <w:rPr>
                <w:b/>
                <w:bCs/>
                <w:color w:val="0D2B45"/>
                <w:sz w:val="18"/>
                <w:szCs w:val="18"/>
              </w:rPr>
              <w:t>SSP2-4.5 / DT</w:t>
            </w:r>
          </w:p>
        </w:tc>
        <w:tc>
          <w:tcPr>
            <w:tcW w:w="4160" w:type="dxa"/>
            <w:tcMar>
              <w:top w:w="80" w:type="dxa"/>
              <w:left w:w="100" w:type="dxa"/>
              <w:bottom w:w="80" w:type="dxa"/>
              <w:right w:w="100" w:type="dxa"/>
            </w:tcMar>
          </w:tcPr>
          <w:p w14:paraId="5C9B88D0" w14:textId="77777777" w:rsidR="008350BE" w:rsidRDefault="00000000">
            <w:r>
              <w:rPr>
                <w:color w:val="111827"/>
                <w:sz w:val="18"/>
                <w:szCs w:val="18"/>
              </w:rPr>
              <w:t>Delayed Transition. ~2.0°C warming. Moderate physical and transition risk.</w:t>
            </w:r>
          </w:p>
        </w:tc>
        <w:tc>
          <w:tcPr>
            <w:tcW w:w="2800" w:type="dxa"/>
            <w:tcMar>
              <w:top w:w="80" w:type="dxa"/>
              <w:left w:w="100" w:type="dxa"/>
              <w:bottom w:w="80" w:type="dxa"/>
              <w:right w:w="100" w:type="dxa"/>
            </w:tcMar>
          </w:tcPr>
          <w:p w14:paraId="55DC8993" w14:textId="77777777" w:rsidR="008350BE" w:rsidRDefault="00000000">
            <w:r>
              <w:rPr>
                <w:i/>
                <w:iCs/>
                <w:color w:val="6B7280"/>
                <w:sz w:val="18"/>
                <w:szCs w:val="18"/>
              </w:rPr>
              <w:t>IPCC AR6 · NGFS Phase 4</w:t>
            </w:r>
          </w:p>
        </w:tc>
      </w:tr>
      <w:tr w:rsidR="008350BE" w14:paraId="13F9262F"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16F004A3" w14:textId="77777777" w:rsidR="008350BE" w:rsidRDefault="00000000">
            <w:r>
              <w:rPr>
                <w:b/>
                <w:bCs/>
                <w:color w:val="0D2B45"/>
                <w:sz w:val="18"/>
                <w:szCs w:val="18"/>
              </w:rPr>
              <w:t>SSP3-7.0 / CP</w:t>
            </w:r>
          </w:p>
        </w:tc>
        <w:tc>
          <w:tcPr>
            <w:tcW w:w="4160" w:type="dxa"/>
            <w:tcMar>
              <w:top w:w="80" w:type="dxa"/>
              <w:left w:w="100" w:type="dxa"/>
              <w:bottom w:w="80" w:type="dxa"/>
              <w:right w:w="100" w:type="dxa"/>
            </w:tcMar>
          </w:tcPr>
          <w:p w14:paraId="10EEA2DB" w14:textId="77777777" w:rsidR="008350BE" w:rsidRDefault="00000000">
            <w:r>
              <w:rPr>
                <w:color w:val="111827"/>
                <w:sz w:val="18"/>
                <w:szCs w:val="18"/>
              </w:rPr>
              <w:t>Current Policies. ~2.7°C by 2050. High physical risk, low transition cost.</w:t>
            </w:r>
          </w:p>
        </w:tc>
        <w:tc>
          <w:tcPr>
            <w:tcW w:w="2800" w:type="dxa"/>
            <w:tcMar>
              <w:top w:w="80" w:type="dxa"/>
              <w:left w:w="100" w:type="dxa"/>
              <w:bottom w:w="80" w:type="dxa"/>
              <w:right w:w="100" w:type="dxa"/>
            </w:tcMar>
          </w:tcPr>
          <w:p w14:paraId="2DEA6388" w14:textId="77777777" w:rsidR="008350BE" w:rsidRDefault="00000000">
            <w:r>
              <w:rPr>
                <w:i/>
                <w:iCs/>
                <w:color w:val="6B7280"/>
                <w:sz w:val="18"/>
                <w:szCs w:val="18"/>
              </w:rPr>
              <w:t>IPCC AR6 · NGFS Phase 4</w:t>
            </w:r>
          </w:p>
        </w:tc>
      </w:tr>
      <w:tr w:rsidR="008350BE" w14:paraId="56363AB9"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583AA161" w14:textId="77777777" w:rsidR="008350BE" w:rsidRDefault="00000000">
            <w:r>
              <w:rPr>
                <w:b/>
                <w:bCs/>
                <w:color w:val="0D2B45"/>
                <w:sz w:val="18"/>
                <w:szCs w:val="18"/>
              </w:rPr>
              <w:t>SSP5-8.5 / HW</w:t>
            </w:r>
          </w:p>
        </w:tc>
        <w:tc>
          <w:tcPr>
            <w:tcW w:w="4160" w:type="dxa"/>
            <w:tcMar>
              <w:top w:w="80" w:type="dxa"/>
              <w:left w:w="100" w:type="dxa"/>
              <w:bottom w:w="80" w:type="dxa"/>
              <w:right w:w="100" w:type="dxa"/>
            </w:tcMar>
          </w:tcPr>
          <w:p w14:paraId="5C4DEAF1" w14:textId="77777777" w:rsidR="008350BE" w:rsidRDefault="00000000">
            <w:r>
              <w:rPr>
                <w:color w:val="111827"/>
                <w:sz w:val="18"/>
                <w:szCs w:val="18"/>
              </w:rPr>
              <w:t>Hot House World. ~4.5°C. Severe physical damage, stranded assets.</w:t>
            </w:r>
          </w:p>
        </w:tc>
        <w:tc>
          <w:tcPr>
            <w:tcW w:w="2800" w:type="dxa"/>
            <w:tcMar>
              <w:top w:w="80" w:type="dxa"/>
              <w:left w:w="100" w:type="dxa"/>
              <w:bottom w:w="80" w:type="dxa"/>
              <w:right w:w="100" w:type="dxa"/>
            </w:tcMar>
          </w:tcPr>
          <w:p w14:paraId="343AFE30" w14:textId="77777777" w:rsidR="008350BE" w:rsidRDefault="00000000">
            <w:r>
              <w:rPr>
                <w:i/>
                <w:iCs/>
                <w:color w:val="6B7280"/>
                <w:sz w:val="18"/>
                <w:szCs w:val="18"/>
              </w:rPr>
              <w:t>IPCC AR6 · NGFS Phase 4</w:t>
            </w:r>
          </w:p>
        </w:tc>
      </w:tr>
    </w:tbl>
    <w:p w14:paraId="7977A964" w14:textId="77777777" w:rsidR="008350BE" w:rsidRDefault="008350BE"/>
    <w:p w14:paraId="7EAA4787" w14:textId="77777777" w:rsidR="008350BE" w:rsidRDefault="00000000">
      <w:pPr>
        <w:spacing w:before="280" w:after="80"/>
      </w:pPr>
      <w:r>
        <w:rPr>
          <w:b/>
          <w:bCs/>
          <w:color w:val="0A7E8C"/>
          <w:sz w:val="24"/>
          <w:szCs w:val="24"/>
        </w:rPr>
        <w:t>2.3 Time Horizons</w:t>
      </w:r>
    </w:p>
    <w:p w14:paraId="6586FCF4" w14:textId="77777777" w:rsidR="008350BE" w:rsidRDefault="00000000">
      <w:pPr>
        <w:spacing w:after="100"/>
        <w:jc w:val="both"/>
      </w:pPr>
      <w:r>
        <w:rPr>
          <w:color w:val="111827"/>
        </w:rPr>
        <w:t>Assessments are available at any target year between 2025 and 2100. Standard reporting horizons are 2030 (near-term), 2050 (medium-term), and 2100 (long-term), consistent with TCFD and IFRS S2 guidance.</w:t>
      </w:r>
    </w:p>
    <w:p w14:paraId="06A300AC" w14:textId="77777777" w:rsidR="008350BE" w:rsidRDefault="00000000">
      <w:r>
        <w:br w:type="page"/>
      </w:r>
    </w:p>
    <w:p w14:paraId="365D8CC5" w14:textId="77777777" w:rsidR="008350BE" w:rsidRDefault="00000000">
      <w:pPr>
        <w:pBdr>
          <w:bottom w:val="single" w:sz="8" w:space="0" w:color="0A7E8C"/>
        </w:pBdr>
        <w:spacing w:before="360" w:after="120"/>
      </w:pPr>
      <w:r>
        <w:rPr>
          <w:b/>
          <w:bCs/>
          <w:color w:val="0D2B45"/>
          <w:sz w:val="32"/>
          <w:szCs w:val="32"/>
        </w:rPr>
        <w:lastRenderedPageBreak/>
        <w:t>3. Physical Risk Methodology</w:t>
      </w:r>
    </w:p>
    <w:p w14:paraId="3DEE2394" w14:textId="77777777" w:rsidR="008350BE" w:rsidRDefault="00000000">
      <w:pPr>
        <w:spacing w:before="280" w:after="80"/>
      </w:pPr>
      <w:r>
        <w:rPr>
          <w:b/>
          <w:bCs/>
          <w:color w:val="0A7E8C"/>
          <w:sz w:val="24"/>
          <w:szCs w:val="24"/>
        </w:rPr>
        <w:t>3.1 Hazard Coverage</w:t>
      </w:r>
    </w:p>
    <w:p w14:paraId="73D7BF93" w14:textId="77777777" w:rsidR="008350BE" w:rsidRDefault="00000000">
      <w:pPr>
        <w:spacing w:after="100"/>
        <w:jc w:val="both"/>
      </w:pPr>
      <w:r>
        <w:rPr>
          <w:color w:val="111827"/>
        </w:rPr>
        <w:t>The engine covers all 10 acute and chronic physical hazard categories identified by the IPCC AR6 Working Group II (Chapters 3–4) as financially material. All 10 are disclosed per TCFD, IFRS S2, and CSRD requirements.</w:t>
      </w:r>
    </w:p>
    <w:p w14:paraId="36DD704D"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24E8F47D"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682A0439" w14:textId="77777777" w:rsidR="008350BE" w:rsidRDefault="00000000">
            <w:r>
              <w:rPr>
                <w:b/>
                <w:bCs/>
                <w:color w:val="0D2B45"/>
                <w:sz w:val="18"/>
                <w:szCs w:val="18"/>
              </w:rPr>
              <w:t>Heat Stress</w:t>
            </w:r>
          </w:p>
        </w:tc>
        <w:tc>
          <w:tcPr>
            <w:tcW w:w="4160" w:type="dxa"/>
            <w:tcMar>
              <w:top w:w="80" w:type="dxa"/>
              <w:left w:w="100" w:type="dxa"/>
              <w:bottom w:w="80" w:type="dxa"/>
              <w:right w:w="100" w:type="dxa"/>
            </w:tcMar>
          </w:tcPr>
          <w:p w14:paraId="2EF0FF23" w14:textId="77777777" w:rsidR="008350BE" w:rsidRDefault="00000000">
            <w:r>
              <w:rPr>
                <w:color w:val="111827"/>
                <w:sz w:val="18"/>
                <w:szCs w:val="18"/>
              </w:rPr>
              <w:t>Wet-bulb globe temperature exceedance; labour productivity loss; operational shutdowns.</w:t>
            </w:r>
          </w:p>
        </w:tc>
        <w:tc>
          <w:tcPr>
            <w:tcW w:w="2800" w:type="dxa"/>
            <w:tcMar>
              <w:top w:w="80" w:type="dxa"/>
              <w:left w:w="100" w:type="dxa"/>
              <w:bottom w:w="80" w:type="dxa"/>
              <w:right w:w="100" w:type="dxa"/>
            </w:tcMar>
          </w:tcPr>
          <w:p w14:paraId="6E78A1ED" w14:textId="77777777" w:rsidR="008350BE" w:rsidRDefault="00000000">
            <w:r>
              <w:rPr>
                <w:i/>
                <w:iCs/>
                <w:color w:val="6B7280"/>
                <w:sz w:val="18"/>
                <w:szCs w:val="18"/>
              </w:rPr>
              <w:t>IPCC AR6 WG2 Ch3.3</w:t>
            </w:r>
          </w:p>
        </w:tc>
      </w:tr>
      <w:tr w:rsidR="008350BE" w14:paraId="1CC47D77"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17F82EC3" w14:textId="77777777" w:rsidR="008350BE" w:rsidRDefault="00000000">
            <w:r>
              <w:rPr>
                <w:b/>
                <w:bCs/>
                <w:color w:val="0D2B45"/>
                <w:sz w:val="18"/>
                <w:szCs w:val="18"/>
              </w:rPr>
              <w:t>Riverine Flood</w:t>
            </w:r>
          </w:p>
        </w:tc>
        <w:tc>
          <w:tcPr>
            <w:tcW w:w="4160" w:type="dxa"/>
            <w:tcMar>
              <w:top w:w="80" w:type="dxa"/>
              <w:left w:w="100" w:type="dxa"/>
              <w:bottom w:w="80" w:type="dxa"/>
              <w:right w:w="100" w:type="dxa"/>
            </w:tcMar>
          </w:tcPr>
          <w:p w14:paraId="2726B008" w14:textId="77777777" w:rsidR="008350BE" w:rsidRDefault="00000000">
            <w:r>
              <w:rPr>
                <w:color w:val="111827"/>
                <w:sz w:val="18"/>
                <w:szCs w:val="18"/>
              </w:rPr>
              <w:t>Clausius-Clapeyron precipitation scaling; return period shifts; floodplain expansion.</w:t>
            </w:r>
          </w:p>
        </w:tc>
        <w:tc>
          <w:tcPr>
            <w:tcW w:w="2800" w:type="dxa"/>
            <w:tcMar>
              <w:top w:w="80" w:type="dxa"/>
              <w:left w:w="100" w:type="dxa"/>
              <w:bottom w:w="80" w:type="dxa"/>
              <w:right w:w="100" w:type="dxa"/>
            </w:tcMar>
          </w:tcPr>
          <w:p w14:paraId="123BD76F" w14:textId="77777777" w:rsidR="008350BE" w:rsidRDefault="00000000">
            <w:r>
              <w:rPr>
                <w:i/>
                <w:iCs/>
                <w:color w:val="6B7280"/>
                <w:sz w:val="18"/>
                <w:szCs w:val="18"/>
              </w:rPr>
              <w:t>IPCC AR6 WG2 Ch4.2</w:t>
            </w:r>
          </w:p>
        </w:tc>
      </w:tr>
      <w:tr w:rsidR="008350BE" w14:paraId="3E650E6C"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390E044A" w14:textId="77777777" w:rsidR="008350BE" w:rsidRDefault="00000000">
            <w:r>
              <w:rPr>
                <w:b/>
                <w:bCs/>
                <w:color w:val="0D2B45"/>
                <w:sz w:val="18"/>
                <w:szCs w:val="18"/>
              </w:rPr>
              <w:t>Coastal Flood</w:t>
            </w:r>
          </w:p>
        </w:tc>
        <w:tc>
          <w:tcPr>
            <w:tcW w:w="4160" w:type="dxa"/>
            <w:tcMar>
              <w:top w:w="80" w:type="dxa"/>
              <w:left w:w="100" w:type="dxa"/>
              <w:bottom w:w="80" w:type="dxa"/>
              <w:right w:w="100" w:type="dxa"/>
            </w:tcMar>
          </w:tcPr>
          <w:p w14:paraId="69C75E5A" w14:textId="77777777" w:rsidR="008350BE" w:rsidRDefault="00000000">
            <w:r>
              <w:rPr>
                <w:color w:val="111827"/>
                <w:sz w:val="18"/>
                <w:szCs w:val="18"/>
              </w:rPr>
              <w:t>Storm surge compounded with sea level rise; saline intrusion; erosion risk.</w:t>
            </w:r>
          </w:p>
        </w:tc>
        <w:tc>
          <w:tcPr>
            <w:tcW w:w="2800" w:type="dxa"/>
            <w:tcMar>
              <w:top w:w="80" w:type="dxa"/>
              <w:left w:w="100" w:type="dxa"/>
              <w:bottom w:w="80" w:type="dxa"/>
              <w:right w:w="100" w:type="dxa"/>
            </w:tcMar>
          </w:tcPr>
          <w:p w14:paraId="207B89E0" w14:textId="77777777" w:rsidR="008350BE" w:rsidRDefault="00000000">
            <w:r>
              <w:rPr>
                <w:i/>
                <w:iCs/>
                <w:color w:val="6B7280"/>
                <w:sz w:val="18"/>
                <w:szCs w:val="18"/>
              </w:rPr>
              <w:t>IPCC AR6 WG2 Ch3.4</w:t>
            </w:r>
          </w:p>
        </w:tc>
      </w:tr>
      <w:tr w:rsidR="008350BE" w14:paraId="645B612E"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45E719FA" w14:textId="77777777" w:rsidR="008350BE" w:rsidRDefault="00000000">
            <w:r>
              <w:rPr>
                <w:b/>
                <w:bCs/>
                <w:color w:val="0D2B45"/>
                <w:sz w:val="18"/>
                <w:szCs w:val="18"/>
              </w:rPr>
              <w:t>Sea Level Rise</w:t>
            </w:r>
          </w:p>
        </w:tc>
        <w:tc>
          <w:tcPr>
            <w:tcW w:w="4160" w:type="dxa"/>
            <w:tcMar>
              <w:top w:w="80" w:type="dxa"/>
              <w:left w:w="100" w:type="dxa"/>
              <w:bottom w:w="80" w:type="dxa"/>
              <w:right w:w="100" w:type="dxa"/>
            </w:tcMar>
          </w:tcPr>
          <w:p w14:paraId="4DDC765E" w14:textId="77777777" w:rsidR="008350BE" w:rsidRDefault="00000000">
            <w:r>
              <w:rPr>
                <w:color w:val="111827"/>
                <w:sz w:val="18"/>
                <w:szCs w:val="18"/>
              </w:rPr>
              <w:t>Chronic inundation risk; asset stranding probability by elevation band.</w:t>
            </w:r>
          </w:p>
        </w:tc>
        <w:tc>
          <w:tcPr>
            <w:tcW w:w="2800" w:type="dxa"/>
            <w:tcMar>
              <w:top w:w="80" w:type="dxa"/>
              <w:left w:w="100" w:type="dxa"/>
              <w:bottom w:w="80" w:type="dxa"/>
              <w:right w:w="100" w:type="dxa"/>
            </w:tcMar>
          </w:tcPr>
          <w:p w14:paraId="1DB5D93B" w14:textId="77777777" w:rsidR="008350BE" w:rsidRDefault="00000000">
            <w:r>
              <w:rPr>
                <w:i/>
                <w:iCs/>
                <w:color w:val="6B7280"/>
                <w:sz w:val="18"/>
                <w:szCs w:val="18"/>
              </w:rPr>
              <w:t>IPCC AR6 WG2 Ch3.4</w:t>
            </w:r>
          </w:p>
        </w:tc>
      </w:tr>
      <w:tr w:rsidR="008350BE" w14:paraId="0CD2A832"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0AC1D1F" w14:textId="77777777" w:rsidR="008350BE" w:rsidRDefault="00000000">
            <w:r>
              <w:rPr>
                <w:b/>
                <w:bCs/>
                <w:color w:val="0D2B45"/>
                <w:sz w:val="18"/>
                <w:szCs w:val="18"/>
              </w:rPr>
              <w:t>Saltwater Intrusion</w:t>
            </w:r>
          </w:p>
        </w:tc>
        <w:tc>
          <w:tcPr>
            <w:tcW w:w="4160" w:type="dxa"/>
            <w:tcMar>
              <w:top w:w="80" w:type="dxa"/>
              <w:left w:w="100" w:type="dxa"/>
              <w:bottom w:w="80" w:type="dxa"/>
              <w:right w:w="100" w:type="dxa"/>
            </w:tcMar>
          </w:tcPr>
          <w:p w14:paraId="05E5E7F6" w14:textId="77777777" w:rsidR="008350BE" w:rsidRDefault="00000000">
            <w:r>
              <w:rPr>
                <w:color w:val="111827"/>
                <w:sz w:val="18"/>
                <w:szCs w:val="18"/>
              </w:rPr>
              <w:t>Groundwater salinisation risk for coastal and low-elevation assets.</w:t>
            </w:r>
          </w:p>
        </w:tc>
        <w:tc>
          <w:tcPr>
            <w:tcW w:w="2800" w:type="dxa"/>
            <w:tcMar>
              <w:top w:w="80" w:type="dxa"/>
              <w:left w:w="100" w:type="dxa"/>
              <w:bottom w:w="80" w:type="dxa"/>
              <w:right w:w="100" w:type="dxa"/>
            </w:tcMar>
          </w:tcPr>
          <w:p w14:paraId="60007699" w14:textId="77777777" w:rsidR="008350BE" w:rsidRDefault="00000000">
            <w:r>
              <w:rPr>
                <w:i/>
                <w:iCs/>
                <w:color w:val="6B7280"/>
                <w:sz w:val="18"/>
                <w:szCs w:val="18"/>
              </w:rPr>
              <w:t>IPCC AR6 WG2 Ch4.6</w:t>
            </w:r>
          </w:p>
        </w:tc>
      </w:tr>
      <w:tr w:rsidR="008350BE" w14:paraId="519AF086"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88B4D20" w14:textId="77777777" w:rsidR="008350BE" w:rsidRDefault="00000000">
            <w:r>
              <w:rPr>
                <w:b/>
                <w:bCs/>
                <w:color w:val="0D2B45"/>
                <w:sz w:val="18"/>
                <w:szCs w:val="18"/>
              </w:rPr>
              <w:t>Landslide</w:t>
            </w:r>
          </w:p>
        </w:tc>
        <w:tc>
          <w:tcPr>
            <w:tcW w:w="4160" w:type="dxa"/>
            <w:tcMar>
              <w:top w:w="80" w:type="dxa"/>
              <w:left w:w="100" w:type="dxa"/>
              <w:bottom w:w="80" w:type="dxa"/>
              <w:right w:w="100" w:type="dxa"/>
            </w:tcMar>
          </w:tcPr>
          <w:p w14:paraId="631A78A0" w14:textId="77777777" w:rsidR="008350BE" w:rsidRDefault="00000000">
            <w:r>
              <w:rPr>
                <w:color w:val="111827"/>
                <w:sz w:val="18"/>
                <w:szCs w:val="18"/>
              </w:rPr>
              <w:t>Terrain stability under increased precipitation intensity; slope and geology factors.</w:t>
            </w:r>
          </w:p>
        </w:tc>
        <w:tc>
          <w:tcPr>
            <w:tcW w:w="2800" w:type="dxa"/>
            <w:tcMar>
              <w:top w:w="80" w:type="dxa"/>
              <w:left w:w="100" w:type="dxa"/>
              <w:bottom w:w="80" w:type="dxa"/>
              <w:right w:w="100" w:type="dxa"/>
            </w:tcMar>
          </w:tcPr>
          <w:p w14:paraId="09926E37" w14:textId="77777777" w:rsidR="008350BE" w:rsidRDefault="00000000">
            <w:r>
              <w:rPr>
                <w:i/>
                <w:iCs/>
                <w:color w:val="6B7280"/>
                <w:sz w:val="18"/>
                <w:szCs w:val="18"/>
              </w:rPr>
              <w:t>IPCC AR6 WG2 Ch4.7</w:t>
            </w:r>
          </w:p>
        </w:tc>
      </w:tr>
      <w:tr w:rsidR="008350BE" w14:paraId="561123DD"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400A1587" w14:textId="77777777" w:rsidR="008350BE" w:rsidRDefault="00000000">
            <w:r>
              <w:rPr>
                <w:b/>
                <w:bCs/>
                <w:color w:val="0D2B45"/>
                <w:sz w:val="18"/>
                <w:szCs w:val="18"/>
              </w:rPr>
              <w:t>Wildfire</w:t>
            </w:r>
          </w:p>
        </w:tc>
        <w:tc>
          <w:tcPr>
            <w:tcW w:w="4160" w:type="dxa"/>
            <w:tcMar>
              <w:top w:w="80" w:type="dxa"/>
              <w:left w:w="100" w:type="dxa"/>
              <w:bottom w:w="80" w:type="dxa"/>
              <w:right w:w="100" w:type="dxa"/>
            </w:tcMar>
          </w:tcPr>
          <w:p w14:paraId="5DE8B581" w14:textId="77777777" w:rsidR="008350BE" w:rsidRDefault="00000000">
            <w:r>
              <w:rPr>
                <w:color w:val="111827"/>
                <w:sz w:val="18"/>
                <w:szCs w:val="18"/>
              </w:rPr>
              <w:t>Fire Weather Index (FWI) trend; NASA FIRMS historical ignition density overlay.</w:t>
            </w:r>
          </w:p>
        </w:tc>
        <w:tc>
          <w:tcPr>
            <w:tcW w:w="2800" w:type="dxa"/>
            <w:tcMar>
              <w:top w:w="80" w:type="dxa"/>
              <w:left w:w="100" w:type="dxa"/>
              <w:bottom w:w="80" w:type="dxa"/>
              <w:right w:w="100" w:type="dxa"/>
            </w:tcMar>
          </w:tcPr>
          <w:p w14:paraId="4388116C" w14:textId="77777777" w:rsidR="008350BE" w:rsidRDefault="00000000">
            <w:r>
              <w:rPr>
                <w:i/>
                <w:iCs/>
                <w:color w:val="6B7280"/>
                <w:sz w:val="18"/>
                <w:szCs w:val="18"/>
              </w:rPr>
              <w:t>IPCC AR6 WG2 Ch3.5</w:t>
            </w:r>
          </w:p>
        </w:tc>
      </w:tr>
      <w:tr w:rsidR="008350BE" w14:paraId="1A56AA8C"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6A99C800" w14:textId="77777777" w:rsidR="008350BE" w:rsidRDefault="00000000">
            <w:r>
              <w:rPr>
                <w:b/>
                <w:bCs/>
                <w:color w:val="0D2B45"/>
                <w:sz w:val="18"/>
                <w:szCs w:val="18"/>
              </w:rPr>
              <w:t>Cyclone / TC</w:t>
            </w:r>
          </w:p>
        </w:tc>
        <w:tc>
          <w:tcPr>
            <w:tcW w:w="4160" w:type="dxa"/>
            <w:tcMar>
              <w:top w:w="80" w:type="dxa"/>
              <w:left w:w="100" w:type="dxa"/>
              <w:bottom w:w="80" w:type="dxa"/>
              <w:right w:w="100" w:type="dxa"/>
            </w:tcMar>
          </w:tcPr>
          <w:p w14:paraId="289A855D" w14:textId="77777777" w:rsidR="008350BE" w:rsidRDefault="00000000">
            <w:r>
              <w:rPr>
                <w:color w:val="111827"/>
                <w:sz w:val="18"/>
                <w:szCs w:val="18"/>
              </w:rPr>
              <w:t>Tropical cyclone track intensification; IBTRACS historical path density.</w:t>
            </w:r>
          </w:p>
        </w:tc>
        <w:tc>
          <w:tcPr>
            <w:tcW w:w="2800" w:type="dxa"/>
            <w:tcMar>
              <w:top w:w="80" w:type="dxa"/>
              <w:left w:w="100" w:type="dxa"/>
              <w:bottom w:w="80" w:type="dxa"/>
              <w:right w:w="100" w:type="dxa"/>
            </w:tcMar>
          </w:tcPr>
          <w:p w14:paraId="4AFB00B3" w14:textId="77777777" w:rsidR="008350BE" w:rsidRDefault="00000000">
            <w:r>
              <w:rPr>
                <w:i/>
                <w:iCs/>
                <w:color w:val="6B7280"/>
                <w:sz w:val="18"/>
                <w:szCs w:val="18"/>
              </w:rPr>
              <w:t>IPCC AR6 WG2 Ch11.7</w:t>
            </w:r>
          </w:p>
        </w:tc>
      </w:tr>
      <w:tr w:rsidR="008350BE" w14:paraId="0DEAAD94"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9D97655" w14:textId="77777777" w:rsidR="008350BE" w:rsidRDefault="00000000">
            <w:r>
              <w:rPr>
                <w:b/>
                <w:bCs/>
                <w:color w:val="0D2B45"/>
                <w:sz w:val="18"/>
                <w:szCs w:val="18"/>
              </w:rPr>
              <w:t>Drought</w:t>
            </w:r>
          </w:p>
        </w:tc>
        <w:tc>
          <w:tcPr>
            <w:tcW w:w="4160" w:type="dxa"/>
            <w:tcMar>
              <w:top w:w="80" w:type="dxa"/>
              <w:left w:w="100" w:type="dxa"/>
              <w:bottom w:w="80" w:type="dxa"/>
              <w:right w:w="100" w:type="dxa"/>
            </w:tcMar>
          </w:tcPr>
          <w:p w14:paraId="769D5A91" w14:textId="77777777" w:rsidR="008350BE" w:rsidRDefault="00000000">
            <w:r>
              <w:rPr>
                <w:color w:val="111827"/>
                <w:sz w:val="18"/>
                <w:szCs w:val="18"/>
              </w:rPr>
              <w:t>PDSI scaling; water availability stress; growing season disruption.</w:t>
            </w:r>
          </w:p>
        </w:tc>
        <w:tc>
          <w:tcPr>
            <w:tcW w:w="2800" w:type="dxa"/>
            <w:tcMar>
              <w:top w:w="80" w:type="dxa"/>
              <w:left w:w="100" w:type="dxa"/>
              <w:bottom w:w="80" w:type="dxa"/>
              <w:right w:w="100" w:type="dxa"/>
            </w:tcMar>
          </w:tcPr>
          <w:p w14:paraId="0DA855A7" w14:textId="77777777" w:rsidR="008350BE" w:rsidRDefault="00000000">
            <w:r>
              <w:rPr>
                <w:i/>
                <w:iCs/>
                <w:color w:val="6B7280"/>
                <w:sz w:val="18"/>
                <w:szCs w:val="18"/>
              </w:rPr>
              <w:t>IPCC AR6 WG2 Ch3.3</w:t>
            </w:r>
          </w:p>
        </w:tc>
      </w:tr>
      <w:tr w:rsidR="008350BE" w14:paraId="2EFAAF8D"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7F11CC4C" w14:textId="77777777" w:rsidR="008350BE" w:rsidRDefault="00000000">
            <w:r>
              <w:rPr>
                <w:b/>
                <w:bCs/>
                <w:color w:val="0D2B45"/>
                <w:sz w:val="18"/>
                <w:szCs w:val="18"/>
              </w:rPr>
              <w:t>Water Stress</w:t>
            </w:r>
          </w:p>
        </w:tc>
        <w:tc>
          <w:tcPr>
            <w:tcW w:w="4160" w:type="dxa"/>
            <w:tcMar>
              <w:top w:w="80" w:type="dxa"/>
              <w:left w:w="100" w:type="dxa"/>
              <w:bottom w:w="80" w:type="dxa"/>
              <w:right w:w="100" w:type="dxa"/>
            </w:tcMar>
          </w:tcPr>
          <w:p w14:paraId="68D76F07" w14:textId="77777777" w:rsidR="008350BE" w:rsidRDefault="00000000">
            <w:r>
              <w:rPr>
                <w:color w:val="111827"/>
                <w:sz w:val="18"/>
                <w:szCs w:val="18"/>
              </w:rPr>
              <w:t>WRI Aqueduct 4.0 baseline; demand-supply gap under warming and population growth.</w:t>
            </w:r>
          </w:p>
        </w:tc>
        <w:tc>
          <w:tcPr>
            <w:tcW w:w="2800" w:type="dxa"/>
            <w:tcMar>
              <w:top w:w="80" w:type="dxa"/>
              <w:left w:w="100" w:type="dxa"/>
              <w:bottom w:w="80" w:type="dxa"/>
              <w:right w:w="100" w:type="dxa"/>
            </w:tcMar>
          </w:tcPr>
          <w:p w14:paraId="2BCB3D48" w14:textId="77777777" w:rsidR="008350BE" w:rsidRDefault="00000000">
            <w:r>
              <w:rPr>
                <w:i/>
                <w:iCs/>
                <w:color w:val="6B7280"/>
                <w:sz w:val="18"/>
                <w:szCs w:val="18"/>
              </w:rPr>
              <w:t>WRI Aqueduct 4.0</w:t>
            </w:r>
          </w:p>
        </w:tc>
      </w:tr>
    </w:tbl>
    <w:p w14:paraId="622D7722" w14:textId="77777777" w:rsidR="008350BE" w:rsidRDefault="008350BE"/>
    <w:p w14:paraId="05403510" w14:textId="77777777" w:rsidR="008350BE" w:rsidRDefault="00000000">
      <w:pPr>
        <w:spacing w:before="280" w:after="80"/>
      </w:pPr>
      <w:r>
        <w:rPr>
          <w:b/>
          <w:bCs/>
          <w:color w:val="0A7E8C"/>
          <w:sz w:val="24"/>
          <w:szCs w:val="24"/>
        </w:rPr>
        <w:t>3.2 Compound Risk Aggregation</w:t>
      </w:r>
    </w:p>
    <w:p w14:paraId="0B4054E6" w14:textId="77777777" w:rsidR="008350BE" w:rsidRDefault="00000000">
      <w:pPr>
        <w:spacing w:after="100"/>
        <w:jc w:val="both"/>
      </w:pPr>
      <w:r>
        <w:rPr>
          <w:color w:val="111827"/>
        </w:rPr>
        <w:t>Individual hazard severities are combined using a joint probability model that accounts for correlation and non-additivity between hazards. An asset exposed to both riverine flood and drought — for instance a brewery drawing on a flood-prone river in a semi-arid region — receives a compound score that reflects the interaction, not merely the sum of individual exposures.</w:t>
      </w:r>
    </w:p>
    <w:p w14:paraId="796C4AD8" w14:textId="5DD05ADD" w:rsidR="008350BE" w:rsidRDefault="00000000" w:rsidP="0091698A">
      <w:pPr>
        <w:pBdr>
          <w:left w:val="single" w:sz="12" w:space="0" w:color="0A7E8C"/>
        </w:pBdr>
        <w:spacing w:after="80"/>
        <w:ind w:left="360"/>
      </w:pPr>
      <w:r>
        <w:rPr>
          <w:i/>
          <w:iCs/>
          <w:color w:val="6B7280"/>
          <w:sz w:val="18"/>
          <w:szCs w:val="18"/>
        </w:rPr>
        <w:t>The joint loss formula follows standard actuarial practice for correlated perils. The specific parameterisation is proprietary and available for review under NDA.</w:t>
      </w:r>
    </w:p>
    <w:p w14:paraId="4A804072" w14:textId="77777777" w:rsidR="008350BE" w:rsidRDefault="00000000">
      <w:pPr>
        <w:spacing w:before="280" w:after="80"/>
      </w:pPr>
      <w:r>
        <w:rPr>
          <w:b/>
          <w:bCs/>
          <w:color w:val="0A7E8C"/>
          <w:sz w:val="24"/>
          <w:szCs w:val="24"/>
        </w:rPr>
        <w:t>3.3 Site-Level Precision</w:t>
      </w:r>
    </w:p>
    <w:p w14:paraId="3535388C" w14:textId="77777777" w:rsidR="008350BE" w:rsidRDefault="00000000">
      <w:pPr>
        <w:spacing w:after="100"/>
        <w:jc w:val="both"/>
      </w:pPr>
      <w:r>
        <w:rPr>
          <w:color w:val="111827"/>
        </w:rPr>
        <w:t>When an asset's GPS coordinates are provided, the engine applies a multi-stage site physics layer on top of the regional climate baseline:</w:t>
      </w:r>
    </w:p>
    <w:p w14:paraId="55C7123F" w14:textId="77777777" w:rsidR="008350BE" w:rsidRDefault="00000000">
      <w:pPr>
        <w:pStyle w:val="ListParagraph"/>
        <w:numPr>
          <w:ilvl w:val="0"/>
          <w:numId w:val="1"/>
        </w:numPr>
        <w:spacing w:after="60"/>
      </w:pPr>
      <w:r>
        <w:rPr>
          <w:color w:val="111827"/>
        </w:rPr>
        <w:t>Coastal distance correction: hazards including coastal flood, saltwater intrusion, and sea level rise are suppressed for assets more than 80km from the coastline or above 20m elevation, consistent with IPCC definitions of coastal zones.</w:t>
      </w:r>
    </w:p>
    <w:p w14:paraId="5113EE5A" w14:textId="77777777" w:rsidR="008350BE" w:rsidRDefault="00000000">
      <w:pPr>
        <w:pStyle w:val="ListParagraph"/>
        <w:numPr>
          <w:ilvl w:val="0"/>
          <w:numId w:val="1"/>
        </w:numPr>
        <w:spacing w:after="60"/>
      </w:pPr>
      <w:r>
        <w:rPr>
          <w:color w:val="111827"/>
        </w:rPr>
        <w:t>Elevation lapse rate: temperature-sensitive hazards (heat stress, wildfire) are adjusted for altitude using standard atmospheric lapse rates.</w:t>
      </w:r>
    </w:p>
    <w:p w14:paraId="04ABC904" w14:textId="77777777" w:rsidR="008350BE" w:rsidRDefault="00000000">
      <w:pPr>
        <w:pStyle w:val="ListParagraph"/>
        <w:numPr>
          <w:ilvl w:val="0"/>
          <w:numId w:val="1"/>
        </w:numPr>
        <w:spacing w:after="60"/>
      </w:pPr>
      <w:r>
        <w:rPr>
          <w:color w:val="111827"/>
        </w:rPr>
        <w:t>Urban heat island effect: urban-classified assets receive an upward temperature adjustment reflecting documented UHI magnitudes.</w:t>
      </w:r>
    </w:p>
    <w:p w14:paraId="4D4B5B85" w14:textId="77777777" w:rsidR="008350BE" w:rsidRDefault="00000000">
      <w:pPr>
        <w:pStyle w:val="ListParagraph"/>
        <w:numPr>
          <w:ilvl w:val="0"/>
          <w:numId w:val="1"/>
        </w:numPr>
        <w:spacing w:after="60"/>
      </w:pPr>
      <w:r>
        <w:rPr>
          <w:color w:val="111827"/>
        </w:rPr>
        <w:t>River proximity: riverine flood severity is amplified for assets within 5km of a major river channel.</w:t>
      </w:r>
    </w:p>
    <w:p w14:paraId="05F9DF35" w14:textId="3F3213A0" w:rsidR="008350BE" w:rsidRDefault="00000000" w:rsidP="0091698A">
      <w:pPr>
        <w:pStyle w:val="ListParagraph"/>
        <w:numPr>
          <w:ilvl w:val="0"/>
          <w:numId w:val="1"/>
        </w:numPr>
        <w:spacing w:after="60"/>
      </w:pPr>
      <w:r>
        <w:rPr>
          <w:color w:val="111827"/>
        </w:rPr>
        <w:t>Slope factor: landslide applicability is assessed against terrain gradient; assets on flat terrain receive a not-applicable designation with explanatory note.</w:t>
      </w:r>
      <w:r>
        <w:br w:type="page"/>
      </w:r>
    </w:p>
    <w:p w14:paraId="5DF4A33C" w14:textId="77777777" w:rsidR="008350BE" w:rsidRDefault="00000000">
      <w:pPr>
        <w:pBdr>
          <w:bottom w:val="single" w:sz="8" w:space="0" w:color="0A7E8C"/>
        </w:pBdr>
        <w:spacing w:before="360" w:after="120"/>
      </w:pPr>
      <w:r>
        <w:rPr>
          <w:b/>
          <w:bCs/>
          <w:color w:val="0D2B45"/>
          <w:sz w:val="32"/>
          <w:szCs w:val="32"/>
        </w:rPr>
        <w:lastRenderedPageBreak/>
        <w:t>4. Spatial Downscaling — 25km Grid to Asset Level</w:t>
      </w:r>
    </w:p>
    <w:p w14:paraId="0D270A5E" w14:textId="77777777" w:rsidR="008350BE" w:rsidRDefault="00000000">
      <w:pPr>
        <w:spacing w:before="280" w:after="80"/>
      </w:pPr>
      <w:r>
        <w:rPr>
          <w:b/>
          <w:bCs/>
          <w:color w:val="0A7E8C"/>
          <w:sz w:val="24"/>
          <w:szCs w:val="24"/>
        </w:rPr>
        <w:t>4.1 The Downscaling Challenge</w:t>
      </w:r>
    </w:p>
    <w:p w14:paraId="2DC57C42" w14:textId="77777777" w:rsidR="008350BE" w:rsidRDefault="00000000">
      <w:pPr>
        <w:spacing w:after="100"/>
        <w:jc w:val="both"/>
      </w:pPr>
      <w:r>
        <w:rPr>
          <w:color w:val="111827"/>
        </w:rPr>
        <w:t>Global climate model projections (including NASA NEX-GDDP-CMIP6, the primary source for this engine) are produced at approximately 0.25° spatial resolution, equivalent to roughly 25km grid squares at mid-latitudes. This resolution is adequate for regional climate science but insufficient for asset-level financial risk assessment — a brewery, refinery, or port facility may sit in a very different microclimate from the centre of its 25km grid cell.</w:t>
      </w:r>
    </w:p>
    <w:p w14:paraId="0C3CCE17" w14:textId="77777777" w:rsidR="008350BE" w:rsidRDefault="00000000">
      <w:pPr>
        <w:spacing w:after="100"/>
        <w:jc w:val="both"/>
      </w:pPr>
      <w:r>
        <w:rPr>
          <w:color w:val="111827"/>
        </w:rPr>
        <w:t>Naive approaches — simply assigning each asset the value of its nearest grid cell — introduce systematic bias, particularly for assets near coastlines, in river valleys, or at elevation boundaries.</w:t>
      </w:r>
    </w:p>
    <w:p w14:paraId="13BB013B" w14:textId="77777777" w:rsidR="008350BE" w:rsidRDefault="008350BE"/>
    <w:p w14:paraId="082AE2BE" w14:textId="77777777" w:rsidR="008350BE" w:rsidRDefault="00000000">
      <w:pPr>
        <w:spacing w:before="280" w:after="80"/>
      </w:pPr>
      <w:r>
        <w:rPr>
          <w:b/>
          <w:bCs/>
          <w:color w:val="0A7E8C"/>
          <w:sz w:val="24"/>
          <w:szCs w:val="24"/>
        </w:rPr>
        <w:t>4.2 The CRI Approach: GPS Bilinear Interpolation</w:t>
      </w:r>
    </w:p>
    <w:p w14:paraId="7049503D" w14:textId="77777777" w:rsidR="008350BE" w:rsidRDefault="00000000">
      <w:pPr>
        <w:spacing w:after="100"/>
        <w:jc w:val="both"/>
      </w:pPr>
      <w:r>
        <w:rPr>
          <w:color w:val="111827"/>
        </w:rPr>
        <w:t>The CRI Engine addresses this through a two-stage spatial downscaling process:</w:t>
      </w:r>
    </w:p>
    <w:p w14:paraId="47981D5C" w14:textId="77777777" w:rsidR="008350BE" w:rsidRDefault="008350BE"/>
    <w:p w14:paraId="31AB2D29" w14:textId="77777777" w:rsidR="008350BE" w:rsidRDefault="00000000">
      <w:pPr>
        <w:spacing w:before="200" w:after="60"/>
      </w:pPr>
      <w:r>
        <w:rPr>
          <w:b/>
          <w:bCs/>
          <w:color w:val="0D2B45"/>
          <w:sz w:val="22"/>
          <w:szCs w:val="22"/>
        </w:rPr>
        <w:t>Stage 1 — Statistical baseline interpolation</w:t>
      </w:r>
    </w:p>
    <w:p w14:paraId="0EF05677" w14:textId="77777777" w:rsidR="008350BE" w:rsidRDefault="00000000">
      <w:pPr>
        <w:spacing w:after="100"/>
        <w:jc w:val="both"/>
      </w:pPr>
      <w:r>
        <w:rPr>
          <w:color w:val="111827"/>
        </w:rPr>
        <w:t xml:space="preserve">Each asset's climate risk baseline is computed as the distance-weighted blend of its surrounding regional reference points. The weight assigned to each reference point decreases with the square of its distance from the asset — a standard technique in </w:t>
      </w:r>
      <w:proofErr w:type="spellStart"/>
      <w:r>
        <w:rPr>
          <w:color w:val="111827"/>
        </w:rPr>
        <w:t>geostatistics</w:t>
      </w:r>
      <w:proofErr w:type="spellEnd"/>
      <w:r>
        <w:rPr>
          <w:color w:val="111827"/>
        </w:rPr>
        <w:t xml:space="preserve"> known as inverse-distance weighting (IDW). Reference points more than a few hundred kilometres away receive negligible weight and do not influence the asset's score.</w:t>
      </w:r>
    </w:p>
    <w:p w14:paraId="3531BB2B" w14:textId="77777777" w:rsidR="008350BE" w:rsidRDefault="00000000">
      <w:pPr>
        <w:spacing w:after="100"/>
        <w:jc w:val="both"/>
      </w:pPr>
      <w:r>
        <w:rPr>
          <w:color w:val="111827"/>
        </w:rPr>
        <w:t>This approach is analogous to how weather services interpolate station observations to produce gridded weather maps — using nearby measurements weighted by proximity rather than assuming uniform values across large cells.</w:t>
      </w:r>
    </w:p>
    <w:p w14:paraId="4FE63357" w14:textId="77777777" w:rsidR="008350BE" w:rsidRDefault="008350BE"/>
    <w:p w14:paraId="4D4C7ED3" w14:textId="77777777" w:rsidR="008350BE" w:rsidRDefault="00000000">
      <w:pPr>
        <w:spacing w:before="200" w:after="60"/>
      </w:pPr>
      <w:r>
        <w:rPr>
          <w:b/>
          <w:bCs/>
          <w:color w:val="0D2B45"/>
          <w:sz w:val="22"/>
          <w:szCs w:val="22"/>
        </w:rPr>
        <w:t>Stage 2 — Site physics adjustment</w:t>
      </w:r>
    </w:p>
    <w:p w14:paraId="0AAA45EA" w14:textId="77777777" w:rsidR="008350BE" w:rsidRDefault="00000000">
      <w:pPr>
        <w:spacing w:after="100"/>
        <w:jc w:val="both"/>
      </w:pPr>
      <w:r>
        <w:rPr>
          <w:color w:val="111827"/>
        </w:rPr>
        <w:t>The interpolated regional baseline is then modified by the site-level physical factors described in Section 3.3 (elevation, coastal distance, urban heat island, slope). This second stage captures local geography that is invisible at any grid resolution.</w:t>
      </w:r>
    </w:p>
    <w:p w14:paraId="4148CCA4" w14:textId="77777777" w:rsidR="008350BE" w:rsidRDefault="008350BE"/>
    <w:p w14:paraId="20DF96FB" w14:textId="77777777" w:rsidR="008350BE" w:rsidRDefault="00000000">
      <w:pPr>
        <w:spacing w:before="280" w:after="80"/>
      </w:pPr>
      <w:r>
        <w:rPr>
          <w:b/>
          <w:bCs/>
          <w:color w:val="0A7E8C"/>
          <w:sz w:val="24"/>
          <w:szCs w:val="24"/>
        </w:rPr>
        <w:t>4.3 Meteorological Data Foundation: ERA5 + CMIP6</w:t>
      </w:r>
    </w:p>
    <w:p w14:paraId="3CAFE823" w14:textId="77777777" w:rsidR="008350BE" w:rsidRDefault="00000000">
      <w:pPr>
        <w:spacing w:after="100"/>
        <w:jc w:val="both"/>
      </w:pPr>
      <w:r>
        <w:rPr>
          <w:color w:val="111827"/>
        </w:rPr>
        <w:t>All temperature and precipitation baselines are grounded in ERA5, the ECMWF's global reanalysis dataset covering 1940 to the present at approximately 31km resolution. ERA5 is the industry-standard observational baseline used by meteorologists, central banks, and climate scientists globally.</w:t>
      </w:r>
    </w:p>
    <w:p w14:paraId="43694F18" w14:textId="77777777" w:rsidR="008350BE" w:rsidRDefault="00000000">
      <w:pPr>
        <w:spacing w:after="100"/>
        <w:jc w:val="both"/>
      </w:pPr>
      <w:r>
        <w:rPr>
          <w:color w:val="111827"/>
        </w:rPr>
        <w:t>Future projections apply the "delta method" — the CMIP6 model's projected change signal is added to the ERA5 observational baseline rather than using raw model output. This avoids the mean-state bias that afflicts direct use of climate model temperatures, and is the approach recommended by the IPCC AR6 WG1 for applied climate risk assessments.</w:t>
      </w:r>
    </w:p>
    <w:p w14:paraId="3A0C3764"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7243D244"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1B5D1D8" w14:textId="77777777" w:rsidR="008350BE" w:rsidRDefault="00000000">
            <w:r>
              <w:rPr>
                <w:b/>
                <w:bCs/>
                <w:color w:val="0D2B45"/>
                <w:sz w:val="18"/>
                <w:szCs w:val="18"/>
              </w:rPr>
              <w:t>ERA5 Reanalysis</w:t>
            </w:r>
          </w:p>
        </w:tc>
        <w:tc>
          <w:tcPr>
            <w:tcW w:w="4160" w:type="dxa"/>
            <w:tcMar>
              <w:top w:w="80" w:type="dxa"/>
              <w:left w:w="100" w:type="dxa"/>
              <w:bottom w:w="80" w:type="dxa"/>
              <w:right w:w="100" w:type="dxa"/>
            </w:tcMar>
          </w:tcPr>
          <w:p w14:paraId="37400F21" w14:textId="77777777" w:rsidR="008350BE" w:rsidRDefault="00000000">
            <w:r>
              <w:rPr>
                <w:color w:val="111827"/>
                <w:sz w:val="18"/>
                <w:szCs w:val="18"/>
              </w:rPr>
              <w:t>30-year historical temperature and precipitation baseline at exact asset GPS coordinates. Fetched on-demand for each asset.</w:t>
            </w:r>
          </w:p>
        </w:tc>
        <w:tc>
          <w:tcPr>
            <w:tcW w:w="2800" w:type="dxa"/>
            <w:tcMar>
              <w:top w:w="80" w:type="dxa"/>
              <w:left w:w="100" w:type="dxa"/>
              <w:bottom w:w="80" w:type="dxa"/>
              <w:right w:w="100" w:type="dxa"/>
            </w:tcMar>
          </w:tcPr>
          <w:p w14:paraId="2F913FA8" w14:textId="77777777" w:rsidR="008350BE" w:rsidRDefault="00000000">
            <w:r>
              <w:rPr>
                <w:i/>
                <w:iCs/>
                <w:color w:val="6B7280"/>
                <w:sz w:val="18"/>
                <w:szCs w:val="18"/>
              </w:rPr>
              <w:t xml:space="preserve">ECMWF · </w:t>
            </w:r>
            <w:proofErr w:type="spellStart"/>
            <w:r>
              <w:rPr>
                <w:i/>
                <w:iCs/>
                <w:color w:val="6B7280"/>
                <w:sz w:val="18"/>
                <w:szCs w:val="18"/>
              </w:rPr>
              <w:t>Hersbach</w:t>
            </w:r>
            <w:proofErr w:type="spellEnd"/>
            <w:r>
              <w:rPr>
                <w:i/>
                <w:iCs/>
                <w:color w:val="6B7280"/>
                <w:sz w:val="18"/>
                <w:szCs w:val="18"/>
              </w:rPr>
              <w:t xml:space="preserve"> et al. 2020</w:t>
            </w:r>
          </w:p>
        </w:tc>
      </w:tr>
      <w:tr w:rsidR="008350BE" w14:paraId="169C5F6B"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EE66A6C" w14:textId="77777777" w:rsidR="008350BE" w:rsidRDefault="00000000">
            <w:r>
              <w:rPr>
                <w:b/>
                <w:bCs/>
                <w:color w:val="0D2B45"/>
                <w:sz w:val="18"/>
                <w:szCs w:val="18"/>
              </w:rPr>
              <w:t>NASA NEX-GDDP-CMIP6</w:t>
            </w:r>
          </w:p>
        </w:tc>
        <w:tc>
          <w:tcPr>
            <w:tcW w:w="4160" w:type="dxa"/>
            <w:tcMar>
              <w:top w:w="80" w:type="dxa"/>
              <w:left w:w="100" w:type="dxa"/>
              <w:bottom w:w="80" w:type="dxa"/>
              <w:right w:w="100" w:type="dxa"/>
            </w:tcMar>
          </w:tcPr>
          <w:p w14:paraId="588D847B" w14:textId="77777777" w:rsidR="008350BE" w:rsidRDefault="00000000">
            <w:r>
              <w:rPr>
                <w:color w:val="111827"/>
                <w:sz w:val="18"/>
                <w:szCs w:val="18"/>
              </w:rPr>
              <w:t>Statistically downscaled daily climate projections 2015–2100. 9-model ensemble median applied via delta method.</w:t>
            </w:r>
          </w:p>
        </w:tc>
        <w:tc>
          <w:tcPr>
            <w:tcW w:w="2800" w:type="dxa"/>
            <w:tcMar>
              <w:top w:w="80" w:type="dxa"/>
              <w:left w:w="100" w:type="dxa"/>
              <w:bottom w:w="80" w:type="dxa"/>
              <w:right w:w="100" w:type="dxa"/>
            </w:tcMar>
          </w:tcPr>
          <w:p w14:paraId="482034F4" w14:textId="77777777" w:rsidR="008350BE" w:rsidRDefault="00000000">
            <w:r>
              <w:rPr>
                <w:i/>
                <w:iCs/>
                <w:color w:val="6B7280"/>
                <w:sz w:val="18"/>
                <w:szCs w:val="18"/>
              </w:rPr>
              <w:t>NASA · Thrasher et al. 2022</w:t>
            </w:r>
          </w:p>
        </w:tc>
      </w:tr>
      <w:tr w:rsidR="008350BE" w14:paraId="6861FF82"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08053922" w14:textId="77777777" w:rsidR="008350BE" w:rsidRDefault="00000000">
            <w:r>
              <w:rPr>
                <w:b/>
                <w:bCs/>
                <w:color w:val="0D2B45"/>
                <w:sz w:val="18"/>
                <w:szCs w:val="18"/>
              </w:rPr>
              <w:t>IPCC AR6 WG1</w:t>
            </w:r>
          </w:p>
        </w:tc>
        <w:tc>
          <w:tcPr>
            <w:tcW w:w="4160" w:type="dxa"/>
            <w:tcMar>
              <w:top w:w="80" w:type="dxa"/>
              <w:left w:w="100" w:type="dxa"/>
              <w:bottom w:w="80" w:type="dxa"/>
              <w:right w:w="100" w:type="dxa"/>
            </w:tcMar>
          </w:tcPr>
          <w:p w14:paraId="4B6D75BD" w14:textId="77777777" w:rsidR="008350BE" w:rsidRDefault="00000000">
            <w:r>
              <w:rPr>
                <w:color w:val="111827"/>
                <w:sz w:val="18"/>
                <w:szCs w:val="18"/>
              </w:rPr>
              <w:t>Regional warming amplification factors and SSP scenario temperature ranges.</w:t>
            </w:r>
          </w:p>
        </w:tc>
        <w:tc>
          <w:tcPr>
            <w:tcW w:w="2800" w:type="dxa"/>
            <w:tcMar>
              <w:top w:w="80" w:type="dxa"/>
              <w:left w:w="100" w:type="dxa"/>
              <w:bottom w:w="80" w:type="dxa"/>
              <w:right w:w="100" w:type="dxa"/>
            </w:tcMar>
          </w:tcPr>
          <w:p w14:paraId="414AA9D4" w14:textId="77777777" w:rsidR="008350BE" w:rsidRDefault="00000000">
            <w:r>
              <w:rPr>
                <w:i/>
                <w:iCs/>
                <w:color w:val="6B7280"/>
                <w:sz w:val="18"/>
                <w:szCs w:val="18"/>
              </w:rPr>
              <w:t>IPCC 2021 · SPM Table SPM.1</w:t>
            </w:r>
          </w:p>
        </w:tc>
      </w:tr>
    </w:tbl>
    <w:p w14:paraId="129401BC" w14:textId="77777777" w:rsidR="008350BE" w:rsidRDefault="008350BE"/>
    <w:p w14:paraId="5313452A" w14:textId="77777777" w:rsidR="008350BE" w:rsidRDefault="00000000">
      <w:pPr>
        <w:pBdr>
          <w:left w:val="single" w:sz="12" w:space="0" w:color="0A7E8C"/>
        </w:pBdr>
        <w:spacing w:after="80"/>
        <w:ind w:left="360"/>
      </w:pPr>
      <w:r>
        <w:rPr>
          <w:i/>
          <w:iCs/>
          <w:color w:val="6B7280"/>
          <w:sz w:val="18"/>
          <w:szCs w:val="18"/>
        </w:rPr>
        <w:t>For each asset with GPS coordinates, the engine fetches the ERA5 30-year daily temperature and precipitation record at that exact location via the Open-</w:t>
      </w:r>
      <w:proofErr w:type="spellStart"/>
      <w:r>
        <w:rPr>
          <w:i/>
          <w:iCs/>
          <w:color w:val="6B7280"/>
          <w:sz w:val="18"/>
          <w:szCs w:val="18"/>
        </w:rPr>
        <w:t>Meteo</w:t>
      </w:r>
      <w:proofErr w:type="spellEnd"/>
      <w:r>
        <w:rPr>
          <w:i/>
          <w:iCs/>
          <w:color w:val="6B7280"/>
          <w:sz w:val="18"/>
          <w:szCs w:val="18"/>
        </w:rPr>
        <w:t xml:space="preserve"> ERA5 Archive API. This provides a genuine observational baseline — not a lookup table — updated on demand.</w:t>
      </w:r>
    </w:p>
    <w:p w14:paraId="25513B1E" w14:textId="77777777" w:rsidR="008350BE" w:rsidRDefault="00000000">
      <w:r>
        <w:br w:type="page"/>
      </w:r>
    </w:p>
    <w:p w14:paraId="3855C617" w14:textId="77777777" w:rsidR="008350BE" w:rsidRDefault="00000000">
      <w:pPr>
        <w:pBdr>
          <w:bottom w:val="single" w:sz="8" w:space="0" w:color="0A7E8C"/>
        </w:pBdr>
        <w:spacing w:before="360" w:after="120"/>
      </w:pPr>
      <w:r>
        <w:rPr>
          <w:b/>
          <w:bCs/>
          <w:color w:val="0D2B45"/>
          <w:sz w:val="32"/>
          <w:szCs w:val="32"/>
        </w:rPr>
        <w:lastRenderedPageBreak/>
        <w:t>5. Primary Data Sources</w:t>
      </w:r>
    </w:p>
    <w:p w14:paraId="4D9D322D" w14:textId="77777777" w:rsidR="008350BE" w:rsidRDefault="00000000">
      <w:pPr>
        <w:spacing w:after="100"/>
        <w:jc w:val="both"/>
      </w:pPr>
      <w:r>
        <w:rPr>
          <w:color w:val="111827"/>
        </w:rPr>
        <w:t>All primary data sources are from peer-reviewed, publicly available, internationally recognised datasets. No proprietary third-party data purchases are required to run the engine.</w:t>
      </w:r>
    </w:p>
    <w:p w14:paraId="229ACFAD"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2BE5964E"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81DE5D5" w14:textId="77777777" w:rsidR="008350BE" w:rsidRDefault="00000000">
            <w:r>
              <w:rPr>
                <w:b/>
                <w:bCs/>
                <w:color w:val="0D2B45"/>
                <w:sz w:val="18"/>
                <w:szCs w:val="18"/>
              </w:rPr>
              <w:t>WRI Aqueduct 4.0</w:t>
            </w:r>
          </w:p>
        </w:tc>
        <w:tc>
          <w:tcPr>
            <w:tcW w:w="4160" w:type="dxa"/>
            <w:tcMar>
              <w:top w:w="80" w:type="dxa"/>
              <w:left w:w="100" w:type="dxa"/>
              <w:bottom w:w="80" w:type="dxa"/>
              <w:right w:w="100" w:type="dxa"/>
            </w:tcMar>
          </w:tcPr>
          <w:p w14:paraId="1E06E8E2" w14:textId="77777777" w:rsidR="008350BE" w:rsidRDefault="00000000">
            <w:r>
              <w:rPr>
                <w:color w:val="111827"/>
                <w:sz w:val="18"/>
                <w:szCs w:val="18"/>
              </w:rPr>
              <w:t>Water stress, riverine flood, and drought baseline values for 80+ country/region codes.</w:t>
            </w:r>
          </w:p>
        </w:tc>
        <w:tc>
          <w:tcPr>
            <w:tcW w:w="2800" w:type="dxa"/>
            <w:tcMar>
              <w:top w:w="80" w:type="dxa"/>
              <w:left w:w="100" w:type="dxa"/>
              <w:bottom w:w="80" w:type="dxa"/>
              <w:right w:w="100" w:type="dxa"/>
            </w:tcMar>
          </w:tcPr>
          <w:p w14:paraId="0A20EB0A" w14:textId="77777777" w:rsidR="008350BE" w:rsidRDefault="00000000">
            <w:r>
              <w:rPr>
                <w:i/>
                <w:iCs/>
                <w:color w:val="6B7280"/>
                <w:sz w:val="18"/>
                <w:szCs w:val="18"/>
              </w:rPr>
              <w:t>Kuzma et al. 2023</w:t>
            </w:r>
          </w:p>
        </w:tc>
      </w:tr>
      <w:tr w:rsidR="008350BE" w14:paraId="3938F839"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1C4069B" w14:textId="77777777" w:rsidR="008350BE" w:rsidRDefault="00000000">
            <w:r>
              <w:rPr>
                <w:b/>
                <w:bCs/>
                <w:color w:val="0D2B45"/>
                <w:sz w:val="18"/>
                <w:szCs w:val="18"/>
              </w:rPr>
              <w:t>NASA NEX-GDDP-CMIP6</w:t>
            </w:r>
          </w:p>
        </w:tc>
        <w:tc>
          <w:tcPr>
            <w:tcW w:w="4160" w:type="dxa"/>
            <w:tcMar>
              <w:top w:w="80" w:type="dxa"/>
              <w:left w:w="100" w:type="dxa"/>
              <w:bottom w:w="80" w:type="dxa"/>
              <w:right w:w="100" w:type="dxa"/>
            </w:tcMar>
          </w:tcPr>
          <w:p w14:paraId="783E1ABB" w14:textId="77777777" w:rsidR="008350BE" w:rsidRDefault="00000000">
            <w:r>
              <w:rPr>
                <w:color w:val="111827"/>
                <w:sz w:val="18"/>
                <w:szCs w:val="18"/>
              </w:rPr>
              <w:t>Temperature and precipitation projections to 2100 under SSP1-2.6 through SSP5-8.5.</w:t>
            </w:r>
          </w:p>
        </w:tc>
        <w:tc>
          <w:tcPr>
            <w:tcW w:w="2800" w:type="dxa"/>
            <w:tcMar>
              <w:top w:w="80" w:type="dxa"/>
              <w:left w:w="100" w:type="dxa"/>
              <w:bottom w:w="80" w:type="dxa"/>
              <w:right w:w="100" w:type="dxa"/>
            </w:tcMar>
          </w:tcPr>
          <w:p w14:paraId="01948182" w14:textId="77777777" w:rsidR="008350BE" w:rsidRDefault="00000000">
            <w:r>
              <w:rPr>
                <w:i/>
                <w:iCs/>
                <w:color w:val="6B7280"/>
                <w:sz w:val="18"/>
                <w:szCs w:val="18"/>
              </w:rPr>
              <w:t>Thrasher et al. 2022</w:t>
            </w:r>
          </w:p>
        </w:tc>
      </w:tr>
      <w:tr w:rsidR="008350BE" w14:paraId="28D6D5FC"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59976BB0" w14:textId="77777777" w:rsidR="008350BE" w:rsidRDefault="00000000">
            <w:r>
              <w:rPr>
                <w:b/>
                <w:bCs/>
                <w:color w:val="0D2B45"/>
                <w:sz w:val="18"/>
                <w:szCs w:val="18"/>
              </w:rPr>
              <w:t>ECMWF ERA5</w:t>
            </w:r>
          </w:p>
        </w:tc>
        <w:tc>
          <w:tcPr>
            <w:tcW w:w="4160" w:type="dxa"/>
            <w:tcMar>
              <w:top w:w="80" w:type="dxa"/>
              <w:left w:w="100" w:type="dxa"/>
              <w:bottom w:w="80" w:type="dxa"/>
              <w:right w:w="100" w:type="dxa"/>
            </w:tcMar>
          </w:tcPr>
          <w:p w14:paraId="210B2119" w14:textId="77777777" w:rsidR="008350BE" w:rsidRDefault="00000000">
            <w:r>
              <w:rPr>
                <w:color w:val="111827"/>
                <w:sz w:val="18"/>
                <w:szCs w:val="18"/>
              </w:rPr>
              <w:t>Historical reanalysis: temperature, precipitation, wind, humidity 1940–present.</w:t>
            </w:r>
          </w:p>
        </w:tc>
        <w:tc>
          <w:tcPr>
            <w:tcW w:w="2800" w:type="dxa"/>
            <w:tcMar>
              <w:top w:w="80" w:type="dxa"/>
              <w:left w:w="100" w:type="dxa"/>
              <w:bottom w:w="80" w:type="dxa"/>
              <w:right w:w="100" w:type="dxa"/>
            </w:tcMar>
          </w:tcPr>
          <w:p w14:paraId="43016D9C" w14:textId="77777777" w:rsidR="008350BE" w:rsidRDefault="00000000">
            <w:proofErr w:type="spellStart"/>
            <w:r>
              <w:rPr>
                <w:i/>
                <w:iCs/>
                <w:color w:val="6B7280"/>
                <w:sz w:val="18"/>
                <w:szCs w:val="18"/>
              </w:rPr>
              <w:t>Hersbach</w:t>
            </w:r>
            <w:proofErr w:type="spellEnd"/>
            <w:r>
              <w:rPr>
                <w:i/>
                <w:iCs/>
                <w:color w:val="6B7280"/>
                <w:sz w:val="18"/>
                <w:szCs w:val="18"/>
              </w:rPr>
              <w:t xml:space="preserve"> et al. 2020</w:t>
            </w:r>
          </w:p>
        </w:tc>
      </w:tr>
      <w:tr w:rsidR="008350BE" w14:paraId="3B6C74D3"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54DBF5FE" w14:textId="77777777" w:rsidR="008350BE" w:rsidRDefault="00000000">
            <w:r>
              <w:rPr>
                <w:b/>
                <w:bCs/>
                <w:color w:val="0D2B45"/>
                <w:sz w:val="18"/>
                <w:szCs w:val="18"/>
              </w:rPr>
              <w:t>IPCC AR6 WG1 &amp; WG2</w:t>
            </w:r>
          </w:p>
        </w:tc>
        <w:tc>
          <w:tcPr>
            <w:tcW w:w="4160" w:type="dxa"/>
            <w:tcMar>
              <w:top w:w="80" w:type="dxa"/>
              <w:left w:w="100" w:type="dxa"/>
              <w:bottom w:w="80" w:type="dxa"/>
              <w:right w:w="100" w:type="dxa"/>
            </w:tcMar>
          </w:tcPr>
          <w:p w14:paraId="1578FC20" w14:textId="77777777" w:rsidR="008350BE" w:rsidRDefault="00000000">
            <w:r>
              <w:rPr>
                <w:color w:val="111827"/>
                <w:sz w:val="18"/>
                <w:szCs w:val="18"/>
              </w:rPr>
              <w:t>Regional warming patterns, hazard impact functions, scenario definitions.</w:t>
            </w:r>
          </w:p>
        </w:tc>
        <w:tc>
          <w:tcPr>
            <w:tcW w:w="2800" w:type="dxa"/>
            <w:tcMar>
              <w:top w:w="80" w:type="dxa"/>
              <w:left w:w="100" w:type="dxa"/>
              <w:bottom w:w="80" w:type="dxa"/>
              <w:right w:w="100" w:type="dxa"/>
            </w:tcMar>
          </w:tcPr>
          <w:p w14:paraId="5D6D0BD9" w14:textId="77777777" w:rsidR="008350BE" w:rsidRDefault="00000000">
            <w:r>
              <w:rPr>
                <w:i/>
                <w:iCs/>
                <w:color w:val="6B7280"/>
                <w:sz w:val="18"/>
                <w:szCs w:val="18"/>
              </w:rPr>
              <w:t>IPCC 2021, 2022</w:t>
            </w:r>
          </w:p>
        </w:tc>
      </w:tr>
      <w:tr w:rsidR="008350BE" w14:paraId="6920F123"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4ACA9932" w14:textId="77777777" w:rsidR="008350BE" w:rsidRDefault="00000000">
            <w:r>
              <w:rPr>
                <w:b/>
                <w:bCs/>
                <w:color w:val="0D2B45"/>
                <w:sz w:val="18"/>
                <w:szCs w:val="18"/>
              </w:rPr>
              <w:t>SRTM / Copernicus DEM</w:t>
            </w:r>
          </w:p>
        </w:tc>
        <w:tc>
          <w:tcPr>
            <w:tcW w:w="4160" w:type="dxa"/>
            <w:tcMar>
              <w:top w:w="80" w:type="dxa"/>
              <w:left w:w="100" w:type="dxa"/>
              <w:bottom w:w="80" w:type="dxa"/>
              <w:right w:w="100" w:type="dxa"/>
            </w:tcMar>
          </w:tcPr>
          <w:p w14:paraId="5963E522" w14:textId="77777777" w:rsidR="008350BE" w:rsidRDefault="00000000">
            <w:r>
              <w:rPr>
                <w:color w:val="111827"/>
                <w:sz w:val="18"/>
                <w:szCs w:val="18"/>
              </w:rPr>
              <w:t>Global 30m elevation data used for coastal distance and slope calculations.</w:t>
            </w:r>
          </w:p>
        </w:tc>
        <w:tc>
          <w:tcPr>
            <w:tcW w:w="2800" w:type="dxa"/>
            <w:tcMar>
              <w:top w:w="80" w:type="dxa"/>
              <w:left w:w="100" w:type="dxa"/>
              <w:bottom w:w="80" w:type="dxa"/>
              <w:right w:w="100" w:type="dxa"/>
            </w:tcMar>
          </w:tcPr>
          <w:p w14:paraId="685A3E9D" w14:textId="77777777" w:rsidR="008350BE" w:rsidRDefault="00000000">
            <w:r>
              <w:rPr>
                <w:i/>
                <w:iCs/>
                <w:color w:val="6B7280"/>
                <w:sz w:val="18"/>
                <w:szCs w:val="18"/>
              </w:rPr>
              <w:t>NASA / ESA</w:t>
            </w:r>
          </w:p>
        </w:tc>
      </w:tr>
      <w:tr w:rsidR="008350BE" w14:paraId="09282D21"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FCFBF55" w14:textId="77777777" w:rsidR="008350BE" w:rsidRDefault="00000000">
            <w:r>
              <w:rPr>
                <w:b/>
                <w:bCs/>
                <w:color w:val="0D2B45"/>
                <w:sz w:val="18"/>
                <w:szCs w:val="18"/>
              </w:rPr>
              <w:t>NASA MODIS/HLS</w:t>
            </w:r>
          </w:p>
        </w:tc>
        <w:tc>
          <w:tcPr>
            <w:tcW w:w="4160" w:type="dxa"/>
            <w:tcMar>
              <w:top w:w="80" w:type="dxa"/>
              <w:left w:w="100" w:type="dxa"/>
              <w:bottom w:w="80" w:type="dxa"/>
              <w:right w:w="100" w:type="dxa"/>
            </w:tcMar>
          </w:tcPr>
          <w:p w14:paraId="4FEBDDC5" w14:textId="77777777" w:rsidR="008350BE" w:rsidRDefault="00000000">
            <w:r>
              <w:rPr>
                <w:color w:val="111827"/>
                <w:sz w:val="18"/>
                <w:szCs w:val="18"/>
              </w:rPr>
              <w:t>Land use / land cover classification proxy for urban heat island and wildfire.</w:t>
            </w:r>
          </w:p>
        </w:tc>
        <w:tc>
          <w:tcPr>
            <w:tcW w:w="2800" w:type="dxa"/>
            <w:tcMar>
              <w:top w:w="80" w:type="dxa"/>
              <w:left w:w="100" w:type="dxa"/>
              <w:bottom w:w="80" w:type="dxa"/>
              <w:right w:w="100" w:type="dxa"/>
            </w:tcMar>
          </w:tcPr>
          <w:p w14:paraId="26A7A9C2" w14:textId="77777777" w:rsidR="008350BE" w:rsidRDefault="00000000">
            <w:r>
              <w:rPr>
                <w:i/>
                <w:iCs/>
                <w:color w:val="6B7280"/>
                <w:sz w:val="18"/>
                <w:szCs w:val="18"/>
              </w:rPr>
              <w:t>NASA LP DAAC</w:t>
            </w:r>
          </w:p>
        </w:tc>
      </w:tr>
      <w:tr w:rsidR="008350BE" w14:paraId="3C1FF1AD"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6558008F" w14:textId="77777777" w:rsidR="008350BE" w:rsidRDefault="00000000">
            <w:r>
              <w:rPr>
                <w:b/>
                <w:bCs/>
                <w:color w:val="0D2B45"/>
                <w:sz w:val="18"/>
                <w:szCs w:val="18"/>
              </w:rPr>
              <w:t>IBTRACS v04</w:t>
            </w:r>
          </w:p>
        </w:tc>
        <w:tc>
          <w:tcPr>
            <w:tcW w:w="4160" w:type="dxa"/>
            <w:tcMar>
              <w:top w:w="80" w:type="dxa"/>
              <w:left w:w="100" w:type="dxa"/>
              <w:bottom w:w="80" w:type="dxa"/>
              <w:right w:w="100" w:type="dxa"/>
            </w:tcMar>
          </w:tcPr>
          <w:p w14:paraId="7C1A6947" w14:textId="77777777" w:rsidR="008350BE" w:rsidRDefault="00000000">
            <w:r>
              <w:rPr>
                <w:color w:val="111827"/>
                <w:sz w:val="18"/>
                <w:szCs w:val="18"/>
              </w:rPr>
              <w:t>Global tropical cyclone track database 1842–2024.</w:t>
            </w:r>
          </w:p>
        </w:tc>
        <w:tc>
          <w:tcPr>
            <w:tcW w:w="2800" w:type="dxa"/>
            <w:tcMar>
              <w:top w:w="80" w:type="dxa"/>
              <w:left w:w="100" w:type="dxa"/>
              <w:bottom w:w="80" w:type="dxa"/>
              <w:right w:w="100" w:type="dxa"/>
            </w:tcMar>
          </w:tcPr>
          <w:p w14:paraId="1C45C840" w14:textId="77777777" w:rsidR="008350BE" w:rsidRDefault="00000000">
            <w:r>
              <w:rPr>
                <w:i/>
                <w:iCs/>
                <w:color w:val="6B7280"/>
                <w:sz w:val="18"/>
                <w:szCs w:val="18"/>
              </w:rPr>
              <w:t>Knapp et al. 2010, NOAA</w:t>
            </w:r>
          </w:p>
        </w:tc>
      </w:tr>
      <w:tr w:rsidR="008350BE" w14:paraId="58868762"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30875D0E" w14:textId="77777777" w:rsidR="008350BE" w:rsidRDefault="00000000">
            <w:r>
              <w:rPr>
                <w:b/>
                <w:bCs/>
                <w:color w:val="0D2B45"/>
                <w:sz w:val="18"/>
                <w:szCs w:val="18"/>
              </w:rPr>
              <w:t>NASA FIRMS</w:t>
            </w:r>
          </w:p>
        </w:tc>
        <w:tc>
          <w:tcPr>
            <w:tcW w:w="4160" w:type="dxa"/>
            <w:tcMar>
              <w:top w:w="80" w:type="dxa"/>
              <w:left w:w="100" w:type="dxa"/>
              <w:bottom w:w="80" w:type="dxa"/>
              <w:right w:w="100" w:type="dxa"/>
            </w:tcMar>
          </w:tcPr>
          <w:p w14:paraId="5409A871" w14:textId="77777777" w:rsidR="008350BE" w:rsidRDefault="00000000">
            <w:r>
              <w:rPr>
                <w:color w:val="111827"/>
                <w:sz w:val="18"/>
                <w:szCs w:val="18"/>
              </w:rPr>
              <w:t>Active fire radiative power density for wildfire baseline calibration.</w:t>
            </w:r>
          </w:p>
        </w:tc>
        <w:tc>
          <w:tcPr>
            <w:tcW w:w="2800" w:type="dxa"/>
            <w:tcMar>
              <w:top w:w="80" w:type="dxa"/>
              <w:left w:w="100" w:type="dxa"/>
              <w:bottom w:w="80" w:type="dxa"/>
              <w:right w:w="100" w:type="dxa"/>
            </w:tcMar>
          </w:tcPr>
          <w:p w14:paraId="118FE666" w14:textId="77777777" w:rsidR="008350BE" w:rsidRDefault="00000000">
            <w:r>
              <w:rPr>
                <w:i/>
                <w:iCs/>
                <w:color w:val="6B7280"/>
                <w:sz w:val="18"/>
                <w:szCs w:val="18"/>
              </w:rPr>
              <w:t>NASA EOSDIS 2024</w:t>
            </w:r>
          </w:p>
        </w:tc>
      </w:tr>
      <w:tr w:rsidR="008350BE" w14:paraId="4684CA3B"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3C049A83" w14:textId="77777777" w:rsidR="008350BE" w:rsidRDefault="00000000">
            <w:r>
              <w:rPr>
                <w:b/>
                <w:bCs/>
                <w:color w:val="0D2B45"/>
                <w:sz w:val="18"/>
                <w:szCs w:val="18"/>
              </w:rPr>
              <w:t>NGFS Phase 4</w:t>
            </w:r>
          </w:p>
        </w:tc>
        <w:tc>
          <w:tcPr>
            <w:tcW w:w="4160" w:type="dxa"/>
            <w:tcMar>
              <w:top w:w="80" w:type="dxa"/>
              <w:left w:w="100" w:type="dxa"/>
              <w:bottom w:w="80" w:type="dxa"/>
              <w:right w:w="100" w:type="dxa"/>
            </w:tcMar>
          </w:tcPr>
          <w:p w14:paraId="17A85A40" w14:textId="77777777" w:rsidR="008350BE" w:rsidRDefault="00000000">
            <w:r>
              <w:rPr>
                <w:color w:val="111827"/>
                <w:sz w:val="18"/>
                <w:szCs w:val="18"/>
              </w:rPr>
              <w:t>Carbon price pathways and scenario macroeconomic assumptions.</w:t>
            </w:r>
          </w:p>
        </w:tc>
        <w:tc>
          <w:tcPr>
            <w:tcW w:w="2800" w:type="dxa"/>
            <w:tcMar>
              <w:top w:w="80" w:type="dxa"/>
              <w:left w:w="100" w:type="dxa"/>
              <w:bottom w:w="80" w:type="dxa"/>
              <w:right w:w="100" w:type="dxa"/>
            </w:tcMar>
          </w:tcPr>
          <w:p w14:paraId="309B07BE" w14:textId="77777777" w:rsidR="008350BE" w:rsidRDefault="00000000">
            <w:r>
              <w:rPr>
                <w:i/>
                <w:iCs/>
                <w:color w:val="6B7280"/>
                <w:sz w:val="18"/>
                <w:szCs w:val="18"/>
              </w:rPr>
              <w:t>NGFS 2023</w:t>
            </w:r>
          </w:p>
        </w:tc>
      </w:tr>
    </w:tbl>
    <w:p w14:paraId="48C5890A" w14:textId="77777777" w:rsidR="008350BE" w:rsidRDefault="00000000">
      <w:r>
        <w:br w:type="page"/>
      </w:r>
    </w:p>
    <w:p w14:paraId="5D2723DD" w14:textId="77777777" w:rsidR="008350BE" w:rsidRDefault="00000000">
      <w:pPr>
        <w:pBdr>
          <w:bottom w:val="single" w:sz="8" w:space="0" w:color="0A7E8C"/>
        </w:pBdr>
        <w:spacing w:before="360" w:after="120"/>
      </w:pPr>
      <w:r>
        <w:rPr>
          <w:b/>
          <w:bCs/>
          <w:color w:val="0D2B45"/>
          <w:sz w:val="32"/>
          <w:szCs w:val="32"/>
        </w:rPr>
        <w:lastRenderedPageBreak/>
        <w:t>6. Regulatory Framework Alignment</w:t>
      </w:r>
    </w:p>
    <w:p w14:paraId="4197D051" w14:textId="77777777" w:rsidR="008350BE" w:rsidRDefault="00000000">
      <w:pPr>
        <w:spacing w:after="100"/>
        <w:jc w:val="both"/>
      </w:pPr>
      <w:r>
        <w:rPr>
          <w:color w:val="111827"/>
        </w:rPr>
        <w:t>The CRI Engine is designed to produce outputs that are directly usable for regulatory disclosure without significant reformatting. The table below maps each major framework requirement to the engine's output fields.</w:t>
      </w:r>
    </w:p>
    <w:p w14:paraId="781F9701" w14:textId="77777777" w:rsidR="008350BE" w:rsidRDefault="008350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60"/>
        <w:gridCol w:w="2800"/>
      </w:tblGrid>
      <w:tr w:rsidR="008350BE" w14:paraId="6C1D3D0D"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6EF0EA8F" w14:textId="77777777" w:rsidR="008350BE" w:rsidRDefault="00000000">
            <w:r>
              <w:rPr>
                <w:b/>
                <w:bCs/>
                <w:color w:val="0D2B45"/>
                <w:sz w:val="18"/>
                <w:szCs w:val="18"/>
              </w:rPr>
              <w:t>TCFD</w:t>
            </w:r>
          </w:p>
        </w:tc>
        <w:tc>
          <w:tcPr>
            <w:tcW w:w="4160" w:type="dxa"/>
            <w:tcMar>
              <w:top w:w="80" w:type="dxa"/>
              <w:left w:w="100" w:type="dxa"/>
              <w:bottom w:w="80" w:type="dxa"/>
              <w:right w:w="100" w:type="dxa"/>
            </w:tcMar>
          </w:tcPr>
          <w:p w14:paraId="2B63710D" w14:textId="77777777" w:rsidR="008350BE" w:rsidRDefault="00000000">
            <w:r>
              <w:rPr>
                <w:color w:val="111827"/>
                <w:sz w:val="18"/>
                <w:szCs w:val="18"/>
              </w:rPr>
              <w:t>Physical risk identification and disclosure; scenario analysis; financial impact quantification.</w:t>
            </w:r>
          </w:p>
        </w:tc>
        <w:tc>
          <w:tcPr>
            <w:tcW w:w="2800" w:type="dxa"/>
            <w:tcMar>
              <w:top w:w="80" w:type="dxa"/>
              <w:left w:w="100" w:type="dxa"/>
              <w:bottom w:w="80" w:type="dxa"/>
              <w:right w:w="100" w:type="dxa"/>
            </w:tcMar>
          </w:tcPr>
          <w:p w14:paraId="20F4D85D" w14:textId="77777777" w:rsidR="008350BE" w:rsidRDefault="00000000">
            <w:r>
              <w:rPr>
                <w:i/>
                <w:iCs/>
                <w:color w:val="6B7280"/>
                <w:sz w:val="18"/>
                <w:szCs w:val="18"/>
              </w:rPr>
              <w:t xml:space="preserve">All 10 IPCC-aligned hazards; SSP1-2.6 to SSP5-8.5; </w:t>
            </w:r>
            <w:proofErr w:type="spellStart"/>
            <w:r>
              <w:rPr>
                <w:i/>
                <w:iCs/>
                <w:color w:val="6B7280"/>
                <w:sz w:val="18"/>
                <w:szCs w:val="18"/>
              </w:rPr>
              <w:t>CaR</w:t>
            </w:r>
            <w:proofErr w:type="spellEnd"/>
            <w:r>
              <w:rPr>
                <w:i/>
                <w:iCs/>
                <w:color w:val="6B7280"/>
                <w:sz w:val="18"/>
                <w:szCs w:val="18"/>
              </w:rPr>
              <w:t xml:space="preserve"> and EV impact outputs</w:t>
            </w:r>
          </w:p>
        </w:tc>
      </w:tr>
      <w:tr w:rsidR="008350BE" w14:paraId="07915AB5"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38BC10B0" w14:textId="77777777" w:rsidR="008350BE" w:rsidRDefault="00000000">
            <w:r>
              <w:rPr>
                <w:b/>
                <w:bCs/>
                <w:color w:val="0D2B45"/>
                <w:sz w:val="18"/>
                <w:szCs w:val="18"/>
              </w:rPr>
              <w:t>IFRS S2</w:t>
            </w:r>
          </w:p>
        </w:tc>
        <w:tc>
          <w:tcPr>
            <w:tcW w:w="4160" w:type="dxa"/>
            <w:tcMar>
              <w:top w:w="80" w:type="dxa"/>
              <w:left w:w="100" w:type="dxa"/>
              <w:bottom w:w="80" w:type="dxa"/>
              <w:right w:w="100" w:type="dxa"/>
            </w:tcMar>
          </w:tcPr>
          <w:p w14:paraId="21D8F83F" w14:textId="77777777" w:rsidR="008350BE" w:rsidRDefault="00000000">
            <w:r>
              <w:rPr>
                <w:color w:val="111827"/>
                <w:sz w:val="18"/>
                <w:szCs w:val="18"/>
              </w:rPr>
              <w:t>Climate-related risks and opportunities; cross-industry metric categories.</w:t>
            </w:r>
          </w:p>
        </w:tc>
        <w:tc>
          <w:tcPr>
            <w:tcW w:w="2800" w:type="dxa"/>
            <w:tcMar>
              <w:top w:w="80" w:type="dxa"/>
              <w:left w:w="100" w:type="dxa"/>
              <w:bottom w:w="80" w:type="dxa"/>
              <w:right w:w="100" w:type="dxa"/>
            </w:tcMar>
          </w:tcPr>
          <w:p w14:paraId="1BB8473B" w14:textId="77777777" w:rsidR="008350BE" w:rsidRDefault="00000000">
            <w:r>
              <w:rPr>
                <w:i/>
                <w:iCs/>
                <w:color w:val="6B7280"/>
                <w:sz w:val="18"/>
                <w:szCs w:val="18"/>
              </w:rPr>
              <w:t>Hazard severity scores; transition scenario analysis; Scope 1/2/3 emissions integration</w:t>
            </w:r>
          </w:p>
        </w:tc>
      </w:tr>
      <w:tr w:rsidR="008350BE" w14:paraId="7964E867"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6E519509" w14:textId="77777777" w:rsidR="008350BE" w:rsidRDefault="00000000">
            <w:r>
              <w:rPr>
                <w:b/>
                <w:bCs/>
                <w:color w:val="0D2B45"/>
                <w:sz w:val="18"/>
                <w:szCs w:val="18"/>
              </w:rPr>
              <w:t>CSRD / ESRS E1</w:t>
            </w:r>
          </w:p>
        </w:tc>
        <w:tc>
          <w:tcPr>
            <w:tcW w:w="4160" w:type="dxa"/>
            <w:tcMar>
              <w:top w:w="80" w:type="dxa"/>
              <w:left w:w="100" w:type="dxa"/>
              <w:bottom w:w="80" w:type="dxa"/>
              <w:right w:w="100" w:type="dxa"/>
            </w:tcMar>
          </w:tcPr>
          <w:p w14:paraId="4ACF7ED1" w14:textId="77777777" w:rsidR="008350BE" w:rsidRDefault="00000000">
            <w:r>
              <w:rPr>
                <w:color w:val="111827"/>
                <w:sz w:val="18"/>
                <w:szCs w:val="18"/>
              </w:rPr>
              <w:t>Double materiality assessment; physical and transition risk disclosure; biodiversity.</w:t>
            </w:r>
          </w:p>
        </w:tc>
        <w:tc>
          <w:tcPr>
            <w:tcW w:w="2800" w:type="dxa"/>
            <w:tcMar>
              <w:top w:w="80" w:type="dxa"/>
              <w:left w:w="100" w:type="dxa"/>
              <w:bottom w:w="80" w:type="dxa"/>
              <w:right w:w="100" w:type="dxa"/>
            </w:tcMar>
          </w:tcPr>
          <w:p w14:paraId="1540FE35" w14:textId="77777777" w:rsidR="008350BE" w:rsidRDefault="00000000">
            <w:r>
              <w:rPr>
                <w:i/>
                <w:iCs/>
                <w:color w:val="6B7280"/>
                <w:sz w:val="18"/>
                <w:szCs w:val="18"/>
              </w:rPr>
              <w:t>Asset-level materiality flags; sector-specific impact functions; DNSH alignment</w:t>
            </w:r>
          </w:p>
        </w:tc>
      </w:tr>
      <w:tr w:rsidR="008350BE" w14:paraId="33D583D2"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F34BD9E" w14:textId="77777777" w:rsidR="008350BE" w:rsidRDefault="00000000">
            <w:r>
              <w:rPr>
                <w:b/>
                <w:bCs/>
                <w:color w:val="0D2B45"/>
                <w:sz w:val="18"/>
                <w:szCs w:val="18"/>
              </w:rPr>
              <w:t>ECB Guide</w:t>
            </w:r>
          </w:p>
        </w:tc>
        <w:tc>
          <w:tcPr>
            <w:tcW w:w="4160" w:type="dxa"/>
            <w:tcMar>
              <w:top w:w="80" w:type="dxa"/>
              <w:left w:w="100" w:type="dxa"/>
              <w:bottom w:w="80" w:type="dxa"/>
              <w:right w:w="100" w:type="dxa"/>
            </w:tcMar>
          </w:tcPr>
          <w:p w14:paraId="155B162A" w14:textId="77777777" w:rsidR="008350BE" w:rsidRDefault="00000000">
            <w:r>
              <w:rPr>
                <w:color w:val="111827"/>
                <w:sz w:val="18"/>
                <w:szCs w:val="18"/>
              </w:rPr>
              <w:t>Physical risk heat mapping; transition risk sensitivity analysis; financed emissions.</w:t>
            </w:r>
          </w:p>
        </w:tc>
        <w:tc>
          <w:tcPr>
            <w:tcW w:w="2800" w:type="dxa"/>
            <w:tcMar>
              <w:top w:w="80" w:type="dxa"/>
              <w:left w:w="100" w:type="dxa"/>
              <w:bottom w:w="80" w:type="dxa"/>
              <w:right w:w="100" w:type="dxa"/>
            </w:tcMar>
          </w:tcPr>
          <w:p w14:paraId="626E12D6" w14:textId="77777777" w:rsidR="008350BE" w:rsidRDefault="00000000">
            <w:r>
              <w:rPr>
                <w:i/>
                <w:iCs/>
                <w:color w:val="6B7280"/>
                <w:sz w:val="18"/>
                <w:szCs w:val="18"/>
              </w:rPr>
              <w:t xml:space="preserve">Portfolio-level </w:t>
            </w:r>
            <w:proofErr w:type="spellStart"/>
            <w:r>
              <w:rPr>
                <w:i/>
                <w:iCs/>
                <w:color w:val="6B7280"/>
                <w:sz w:val="18"/>
                <w:szCs w:val="18"/>
              </w:rPr>
              <w:t>CaR</w:t>
            </w:r>
            <w:proofErr w:type="spellEnd"/>
            <w:r>
              <w:rPr>
                <w:i/>
                <w:iCs/>
                <w:color w:val="6B7280"/>
                <w:sz w:val="18"/>
                <w:szCs w:val="18"/>
              </w:rPr>
              <w:t xml:space="preserve">; loan book climate </w:t>
            </w:r>
            <w:proofErr w:type="spellStart"/>
            <w:r>
              <w:rPr>
                <w:i/>
                <w:iCs/>
                <w:color w:val="6B7280"/>
                <w:sz w:val="18"/>
                <w:szCs w:val="18"/>
              </w:rPr>
              <w:t>VaR</w:t>
            </w:r>
            <w:proofErr w:type="spellEnd"/>
            <w:r>
              <w:rPr>
                <w:i/>
                <w:iCs/>
                <w:color w:val="6B7280"/>
                <w:sz w:val="18"/>
                <w:szCs w:val="18"/>
              </w:rPr>
              <w:t>; sector exposure heatmaps</w:t>
            </w:r>
          </w:p>
        </w:tc>
      </w:tr>
      <w:tr w:rsidR="008350BE" w14:paraId="34681874"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212ECE3B" w14:textId="77777777" w:rsidR="008350BE" w:rsidRDefault="00000000">
            <w:r>
              <w:rPr>
                <w:b/>
                <w:bCs/>
                <w:color w:val="0D2B45"/>
                <w:sz w:val="18"/>
                <w:szCs w:val="18"/>
              </w:rPr>
              <w:t>EBA Pillar 3</w:t>
            </w:r>
          </w:p>
        </w:tc>
        <w:tc>
          <w:tcPr>
            <w:tcW w:w="4160" w:type="dxa"/>
            <w:tcMar>
              <w:top w:w="80" w:type="dxa"/>
              <w:left w:w="100" w:type="dxa"/>
              <w:bottom w:w="80" w:type="dxa"/>
              <w:right w:w="100" w:type="dxa"/>
            </w:tcMar>
          </w:tcPr>
          <w:p w14:paraId="1BAA7717" w14:textId="77777777" w:rsidR="008350BE" w:rsidRDefault="00000000">
            <w:r>
              <w:rPr>
                <w:color w:val="111827"/>
                <w:sz w:val="18"/>
                <w:szCs w:val="18"/>
              </w:rPr>
              <w:t>Template EU-5 quantitative climate risk exposure; concentration analysis.</w:t>
            </w:r>
          </w:p>
        </w:tc>
        <w:tc>
          <w:tcPr>
            <w:tcW w:w="2800" w:type="dxa"/>
            <w:tcMar>
              <w:top w:w="80" w:type="dxa"/>
              <w:left w:w="100" w:type="dxa"/>
              <w:bottom w:w="80" w:type="dxa"/>
              <w:right w:w="100" w:type="dxa"/>
            </w:tcMar>
          </w:tcPr>
          <w:p w14:paraId="75A77608" w14:textId="77777777" w:rsidR="008350BE" w:rsidRDefault="00000000">
            <w:r>
              <w:rPr>
                <w:i/>
                <w:iCs/>
                <w:color w:val="6B7280"/>
                <w:sz w:val="18"/>
                <w:szCs w:val="18"/>
              </w:rPr>
              <w:t>CRE and physical exposure tables; geographic concentration by hazard type</w:t>
            </w:r>
          </w:p>
        </w:tc>
      </w:tr>
      <w:tr w:rsidR="008350BE" w14:paraId="268B4CEC" w14:textId="77777777">
        <w:tblPrEx>
          <w:tblCellMar>
            <w:top w:w="0" w:type="dxa"/>
            <w:bottom w:w="0" w:type="dxa"/>
          </w:tblCellMar>
        </w:tblPrEx>
        <w:tc>
          <w:tcPr>
            <w:tcW w:w="2400" w:type="dxa"/>
            <w:shd w:val="solid" w:color="E8F7F8" w:fill="auto"/>
            <w:tcMar>
              <w:top w:w="80" w:type="dxa"/>
              <w:left w:w="100" w:type="dxa"/>
              <w:bottom w:w="80" w:type="dxa"/>
              <w:right w:w="100" w:type="dxa"/>
            </w:tcMar>
          </w:tcPr>
          <w:p w14:paraId="187EE43F" w14:textId="77777777" w:rsidR="008350BE" w:rsidRDefault="00000000">
            <w:r>
              <w:rPr>
                <w:b/>
                <w:bCs/>
                <w:color w:val="0D2B45"/>
                <w:sz w:val="18"/>
                <w:szCs w:val="18"/>
              </w:rPr>
              <w:t>ASRS E1</w:t>
            </w:r>
          </w:p>
        </w:tc>
        <w:tc>
          <w:tcPr>
            <w:tcW w:w="4160" w:type="dxa"/>
            <w:tcMar>
              <w:top w:w="80" w:type="dxa"/>
              <w:left w:w="100" w:type="dxa"/>
              <w:bottom w:w="80" w:type="dxa"/>
              <w:right w:w="100" w:type="dxa"/>
            </w:tcMar>
          </w:tcPr>
          <w:p w14:paraId="57071103" w14:textId="77777777" w:rsidR="008350BE" w:rsidRDefault="00000000">
            <w:r>
              <w:rPr>
                <w:color w:val="111827"/>
                <w:sz w:val="18"/>
                <w:szCs w:val="18"/>
              </w:rPr>
              <w:t>Australian Sustainability Reporting Standards physical risk disclosure.</w:t>
            </w:r>
          </w:p>
        </w:tc>
        <w:tc>
          <w:tcPr>
            <w:tcW w:w="2800" w:type="dxa"/>
            <w:tcMar>
              <w:top w:w="80" w:type="dxa"/>
              <w:left w:w="100" w:type="dxa"/>
              <w:bottom w:w="80" w:type="dxa"/>
              <w:right w:w="100" w:type="dxa"/>
            </w:tcMar>
          </w:tcPr>
          <w:p w14:paraId="45248EE9" w14:textId="77777777" w:rsidR="008350BE" w:rsidRDefault="00000000">
            <w:r>
              <w:rPr>
                <w:i/>
                <w:iCs/>
                <w:color w:val="6B7280"/>
                <w:sz w:val="18"/>
                <w:szCs w:val="18"/>
              </w:rPr>
              <w:t>Full hazard coverage with AU-specific regional calibration</w:t>
            </w:r>
          </w:p>
        </w:tc>
      </w:tr>
    </w:tbl>
    <w:p w14:paraId="4912D020" w14:textId="77777777" w:rsidR="008350BE" w:rsidRDefault="008350BE"/>
    <w:p w14:paraId="71C74605" w14:textId="77777777" w:rsidR="008350BE" w:rsidRDefault="00000000">
      <w:r>
        <w:br w:type="page"/>
      </w:r>
    </w:p>
    <w:p w14:paraId="04D62B53" w14:textId="77777777" w:rsidR="008350BE" w:rsidRDefault="00000000">
      <w:pPr>
        <w:pBdr>
          <w:bottom w:val="single" w:sz="8" w:space="0" w:color="0A7E8C"/>
        </w:pBdr>
        <w:spacing w:before="360" w:after="120"/>
      </w:pPr>
      <w:r>
        <w:rPr>
          <w:b/>
          <w:bCs/>
          <w:color w:val="0D2B45"/>
          <w:sz w:val="32"/>
          <w:szCs w:val="32"/>
        </w:rPr>
        <w:lastRenderedPageBreak/>
        <w:t>7. Outputs and Deliverables</w:t>
      </w:r>
    </w:p>
    <w:p w14:paraId="2748CC39" w14:textId="77777777" w:rsidR="008350BE" w:rsidRDefault="00000000">
      <w:pPr>
        <w:spacing w:before="280" w:after="80"/>
      </w:pPr>
      <w:r>
        <w:rPr>
          <w:b/>
          <w:bCs/>
          <w:color w:val="0A7E8C"/>
          <w:sz w:val="24"/>
          <w:szCs w:val="24"/>
        </w:rPr>
        <w:t>7.1 Standard Outputs per Asset</w:t>
      </w:r>
    </w:p>
    <w:p w14:paraId="2ECF5B9C" w14:textId="77777777" w:rsidR="008350BE" w:rsidRDefault="00000000">
      <w:pPr>
        <w:pStyle w:val="ListParagraph"/>
        <w:numPr>
          <w:ilvl w:val="0"/>
          <w:numId w:val="1"/>
        </w:numPr>
        <w:spacing w:after="60"/>
      </w:pPr>
      <w:r>
        <w:rPr>
          <w:color w:val="111827"/>
        </w:rPr>
        <w:t>Physical risk score (0–100) with per-hazard breakdown and severity ratings</w:t>
      </w:r>
    </w:p>
    <w:p w14:paraId="63FA2C49" w14:textId="77777777" w:rsidR="008350BE" w:rsidRDefault="00000000">
      <w:pPr>
        <w:pStyle w:val="ListParagraph"/>
        <w:numPr>
          <w:ilvl w:val="0"/>
          <w:numId w:val="1"/>
        </w:numPr>
        <w:spacing w:after="60"/>
      </w:pPr>
      <w:r>
        <w:rPr>
          <w:color w:val="111827"/>
        </w:rPr>
        <w:t>Annual production loss probability (joint probability across all applicable hazards)</w:t>
      </w:r>
    </w:p>
    <w:p w14:paraId="0F81EAB4" w14:textId="77777777" w:rsidR="008350BE" w:rsidRDefault="00000000">
      <w:pPr>
        <w:pStyle w:val="ListParagraph"/>
        <w:numPr>
          <w:ilvl w:val="0"/>
          <w:numId w:val="1"/>
        </w:numPr>
        <w:spacing w:after="60"/>
      </w:pPr>
      <w:r>
        <w:rPr>
          <w:color w:val="111827"/>
        </w:rPr>
        <w:t>Capital at Risk (</w:t>
      </w:r>
      <w:proofErr w:type="spellStart"/>
      <w:r>
        <w:rPr>
          <w:color w:val="111827"/>
        </w:rPr>
        <w:t>CaR</w:t>
      </w:r>
      <w:proofErr w:type="spellEnd"/>
      <w:r>
        <w:rPr>
          <w:color w:val="111827"/>
        </w:rPr>
        <w:t>) in GBP/USD/EUR, calibrated to asset replacement value or revenue exposure</w:t>
      </w:r>
    </w:p>
    <w:p w14:paraId="0615AA60" w14:textId="77777777" w:rsidR="008350BE" w:rsidRDefault="00000000">
      <w:pPr>
        <w:pStyle w:val="ListParagraph"/>
        <w:numPr>
          <w:ilvl w:val="0"/>
          <w:numId w:val="1"/>
        </w:numPr>
        <w:spacing w:after="60"/>
      </w:pPr>
      <w:r>
        <w:rPr>
          <w:color w:val="111827"/>
        </w:rPr>
        <w:t>Enterprise Value impact under each scenario and time horizon</w:t>
      </w:r>
    </w:p>
    <w:p w14:paraId="0835D415" w14:textId="77777777" w:rsidR="008350BE" w:rsidRDefault="00000000">
      <w:pPr>
        <w:pStyle w:val="ListParagraph"/>
        <w:numPr>
          <w:ilvl w:val="0"/>
          <w:numId w:val="1"/>
        </w:numPr>
        <w:spacing w:after="60"/>
      </w:pPr>
      <w:r>
        <w:rPr>
          <w:color w:val="111827"/>
        </w:rPr>
        <w:t>Meteorological baseline: ERA5 historical mean, observed trend, and CMIP6 projection at target year</w:t>
      </w:r>
    </w:p>
    <w:p w14:paraId="1415EDBE" w14:textId="77777777" w:rsidR="008350BE" w:rsidRDefault="00000000">
      <w:pPr>
        <w:pStyle w:val="ListParagraph"/>
        <w:numPr>
          <w:ilvl w:val="0"/>
          <w:numId w:val="1"/>
        </w:numPr>
        <w:spacing w:after="60"/>
      </w:pPr>
      <w:r>
        <w:rPr>
          <w:color w:val="111827"/>
        </w:rPr>
        <w:t>Full audit trail: every score traces to a source citation, impact function reference, and methodology note</w:t>
      </w:r>
    </w:p>
    <w:p w14:paraId="284E49C6" w14:textId="77777777" w:rsidR="008350BE" w:rsidRDefault="008350BE"/>
    <w:p w14:paraId="5E70E9CC" w14:textId="77777777" w:rsidR="008350BE" w:rsidRDefault="00000000">
      <w:pPr>
        <w:spacing w:before="280" w:after="80"/>
      </w:pPr>
      <w:r>
        <w:rPr>
          <w:b/>
          <w:bCs/>
          <w:color w:val="0A7E8C"/>
          <w:sz w:val="24"/>
          <w:szCs w:val="24"/>
        </w:rPr>
        <w:t>7.2 Portfolio-Level Outputs</w:t>
      </w:r>
    </w:p>
    <w:p w14:paraId="2CC63225" w14:textId="77777777" w:rsidR="008350BE" w:rsidRDefault="00000000">
      <w:pPr>
        <w:pStyle w:val="ListParagraph"/>
        <w:numPr>
          <w:ilvl w:val="0"/>
          <w:numId w:val="1"/>
        </w:numPr>
        <w:spacing w:after="60"/>
      </w:pPr>
      <w:r>
        <w:rPr>
          <w:color w:val="111827"/>
        </w:rPr>
        <w:t>Climate Rating (0–100 composite) for each company or portfolio</w:t>
      </w:r>
    </w:p>
    <w:p w14:paraId="4A7E72A8" w14:textId="77777777" w:rsidR="008350BE" w:rsidRDefault="00000000">
      <w:pPr>
        <w:pStyle w:val="ListParagraph"/>
        <w:numPr>
          <w:ilvl w:val="0"/>
          <w:numId w:val="1"/>
        </w:numPr>
        <w:spacing w:after="60"/>
      </w:pPr>
      <w:r>
        <w:rPr>
          <w:color w:val="111827"/>
        </w:rPr>
        <w:t>Sector-level risk concentration heatmap</w:t>
      </w:r>
    </w:p>
    <w:p w14:paraId="7001803A" w14:textId="77777777" w:rsidR="008350BE" w:rsidRDefault="00000000">
      <w:pPr>
        <w:pStyle w:val="ListParagraph"/>
        <w:numPr>
          <w:ilvl w:val="0"/>
          <w:numId w:val="1"/>
        </w:numPr>
        <w:spacing w:after="60"/>
      </w:pPr>
      <w:r>
        <w:rPr>
          <w:color w:val="111827"/>
        </w:rPr>
        <w:t>Transition cost trajectory (carbon cost as % EBITDA, 2026–2100)</w:t>
      </w:r>
    </w:p>
    <w:p w14:paraId="04A1322D" w14:textId="77777777" w:rsidR="008350BE" w:rsidRDefault="00000000">
      <w:pPr>
        <w:pStyle w:val="ListParagraph"/>
        <w:numPr>
          <w:ilvl w:val="0"/>
          <w:numId w:val="1"/>
        </w:numPr>
        <w:spacing w:after="60"/>
      </w:pPr>
      <w:r>
        <w:rPr>
          <w:color w:val="111827"/>
        </w:rPr>
        <w:t>Supply chain vulnerability mapping across Tier 1 and Tier 2 suppliers</w:t>
      </w:r>
    </w:p>
    <w:p w14:paraId="370E9AA0" w14:textId="77777777" w:rsidR="008350BE" w:rsidRDefault="00000000">
      <w:pPr>
        <w:pStyle w:val="ListParagraph"/>
        <w:numPr>
          <w:ilvl w:val="0"/>
          <w:numId w:val="1"/>
        </w:numPr>
        <w:spacing w:after="60"/>
      </w:pPr>
      <w:r>
        <w:rPr>
          <w:color w:val="111827"/>
        </w:rPr>
        <w:t xml:space="preserve">Loan book climate </w:t>
      </w:r>
      <w:proofErr w:type="spellStart"/>
      <w:r>
        <w:rPr>
          <w:color w:val="111827"/>
        </w:rPr>
        <w:t>VaR</w:t>
      </w:r>
      <w:proofErr w:type="spellEnd"/>
      <w:r>
        <w:rPr>
          <w:color w:val="111827"/>
        </w:rPr>
        <w:t xml:space="preserve"> for financial institutions</w:t>
      </w:r>
    </w:p>
    <w:p w14:paraId="464EC165" w14:textId="77777777" w:rsidR="008350BE" w:rsidRDefault="008350BE"/>
    <w:p w14:paraId="565E0E4A" w14:textId="77777777" w:rsidR="008350BE" w:rsidRDefault="00000000">
      <w:pPr>
        <w:spacing w:before="280" w:after="80"/>
      </w:pPr>
      <w:r>
        <w:rPr>
          <w:b/>
          <w:bCs/>
          <w:color w:val="0A7E8C"/>
          <w:sz w:val="24"/>
          <w:szCs w:val="24"/>
        </w:rPr>
        <w:t>7.3 Report Formats</w:t>
      </w:r>
    </w:p>
    <w:p w14:paraId="71571B79" w14:textId="77777777" w:rsidR="008350BE" w:rsidRDefault="00000000">
      <w:pPr>
        <w:pStyle w:val="ListParagraph"/>
        <w:numPr>
          <w:ilvl w:val="0"/>
          <w:numId w:val="1"/>
        </w:numPr>
        <w:spacing w:after="60"/>
      </w:pPr>
      <w:r>
        <w:rPr>
          <w:color w:val="111827"/>
        </w:rPr>
        <w:t>Interactive web dashboard (browser-based, no installation required)</w:t>
      </w:r>
    </w:p>
    <w:p w14:paraId="35C5F50E" w14:textId="77777777" w:rsidR="008350BE" w:rsidRDefault="00000000">
      <w:pPr>
        <w:pStyle w:val="ListParagraph"/>
        <w:numPr>
          <w:ilvl w:val="0"/>
          <w:numId w:val="1"/>
        </w:numPr>
        <w:spacing w:after="60"/>
      </w:pPr>
      <w:r>
        <w:rPr>
          <w:color w:val="111827"/>
        </w:rPr>
        <w:t>PDF disclosure report (TCFD / IFRS S2 / CSRD format)</w:t>
      </w:r>
    </w:p>
    <w:p w14:paraId="0656FCEC" w14:textId="77777777" w:rsidR="008350BE" w:rsidRDefault="00000000">
      <w:pPr>
        <w:pStyle w:val="ListParagraph"/>
        <w:numPr>
          <w:ilvl w:val="0"/>
          <w:numId w:val="1"/>
        </w:numPr>
        <w:spacing w:after="60"/>
      </w:pPr>
      <w:r>
        <w:rPr>
          <w:color w:val="111827"/>
        </w:rPr>
        <w:t>Excel data package with per-asset scores, sources, and audit trail</w:t>
      </w:r>
    </w:p>
    <w:p w14:paraId="52318D40" w14:textId="77777777" w:rsidR="008350BE" w:rsidRDefault="00000000">
      <w:pPr>
        <w:pStyle w:val="ListParagraph"/>
        <w:numPr>
          <w:ilvl w:val="0"/>
          <w:numId w:val="1"/>
        </w:numPr>
        <w:spacing w:after="60"/>
      </w:pPr>
      <w:r>
        <w:rPr>
          <w:color w:val="111827"/>
        </w:rPr>
        <w:t>Regulatory templates: ECB, EBA Pillar 3, ASRS pre-formatted</w:t>
      </w:r>
    </w:p>
    <w:p w14:paraId="5204ADD6" w14:textId="77777777" w:rsidR="008350BE" w:rsidRDefault="008350BE"/>
    <w:p w14:paraId="188DBF90" w14:textId="77777777" w:rsidR="008350BE" w:rsidRDefault="00000000">
      <w:r>
        <w:br w:type="page"/>
      </w:r>
    </w:p>
    <w:p w14:paraId="10FAC278" w14:textId="77777777" w:rsidR="008350BE" w:rsidRDefault="00000000">
      <w:pPr>
        <w:pBdr>
          <w:bottom w:val="single" w:sz="8" w:space="0" w:color="0A7E8C"/>
        </w:pBdr>
        <w:spacing w:before="360" w:after="120"/>
      </w:pPr>
      <w:r>
        <w:rPr>
          <w:b/>
          <w:bCs/>
          <w:color w:val="0D2B45"/>
          <w:sz w:val="32"/>
          <w:szCs w:val="32"/>
        </w:rPr>
        <w:lastRenderedPageBreak/>
        <w:t>8. Limitations and Professional Caveats</w:t>
      </w:r>
    </w:p>
    <w:p w14:paraId="7F03302F" w14:textId="77777777" w:rsidR="008350BE" w:rsidRDefault="00000000">
      <w:pPr>
        <w:spacing w:after="100"/>
        <w:jc w:val="both"/>
      </w:pPr>
      <w:r>
        <w:rPr>
          <w:color w:val="111827"/>
        </w:rPr>
        <w:t>Intellectual honesty about model limitations is a core principle of the CRI Engine. The following are clearly disclosed in all outputs:</w:t>
      </w:r>
    </w:p>
    <w:p w14:paraId="385C7CED" w14:textId="77777777" w:rsidR="008350BE" w:rsidRDefault="008350BE"/>
    <w:p w14:paraId="4F3161B2" w14:textId="77777777" w:rsidR="008350BE" w:rsidRDefault="00000000">
      <w:pPr>
        <w:pStyle w:val="ListParagraph"/>
        <w:numPr>
          <w:ilvl w:val="0"/>
          <w:numId w:val="1"/>
        </w:numPr>
        <w:spacing w:after="60"/>
      </w:pPr>
      <w:r>
        <w:rPr>
          <w:color w:val="111827"/>
        </w:rPr>
        <w:t>The engine is a parameterised quantitative framework — it is not a live geospatial API query or a bespoke physical hazard survey. It is calibrated to peer-reviewed science and suitable for regulatory disclosure support, but site-specific engineering surveys may be warranted for high-value assets.</w:t>
      </w:r>
    </w:p>
    <w:p w14:paraId="347DBC16" w14:textId="77777777" w:rsidR="008350BE" w:rsidRDefault="00000000">
      <w:pPr>
        <w:pStyle w:val="ListParagraph"/>
        <w:numPr>
          <w:ilvl w:val="0"/>
          <w:numId w:val="1"/>
        </w:numPr>
        <w:spacing w:after="60"/>
      </w:pPr>
      <w:r>
        <w:rPr>
          <w:color w:val="111827"/>
        </w:rPr>
        <w:t>Precipitation projections carry substantially higher uncertainty than temperature projections (±8% vs ±0.3°C). Flood and drought outputs should be treated as indicative trend signals, not precise engineering estimates.</w:t>
      </w:r>
    </w:p>
    <w:p w14:paraId="56A56A56" w14:textId="77777777" w:rsidR="008350BE" w:rsidRDefault="00000000">
      <w:pPr>
        <w:pStyle w:val="ListParagraph"/>
        <w:numPr>
          <w:ilvl w:val="0"/>
          <w:numId w:val="1"/>
        </w:numPr>
        <w:spacing w:after="60"/>
      </w:pPr>
      <w:r>
        <w:rPr>
          <w:color w:val="111827"/>
        </w:rPr>
        <w:t>The engine covers climate-related physical and transition risks. Geophysical hazards (earthquakes, volcanoes, tsunamis) are intentionally excluded from climate scores — they are not climate-sensitive and must not appear in TCFD/IFRS S2 climate disclosures.</w:t>
      </w:r>
    </w:p>
    <w:p w14:paraId="22ED56FC" w14:textId="77777777" w:rsidR="008350BE" w:rsidRDefault="00000000">
      <w:pPr>
        <w:pStyle w:val="ListParagraph"/>
        <w:numPr>
          <w:ilvl w:val="0"/>
          <w:numId w:val="1"/>
        </w:numPr>
        <w:spacing w:after="60"/>
      </w:pPr>
      <w:r>
        <w:rPr>
          <w:color w:val="111827"/>
        </w:rPr>
        <w:t>All outputs should be reviewed by a qualified risk professional before submission to regulators, lenders, or rating agencies.</w:t>
      </w:r>
    </w:p>
    <w:p w14:paraId="062ED10D" w14:textId="77777777" w:rsidR="008350BE" w:rsidRDefault="008350BE"/>
    <w:p w14:paraId="4D16887C" w14:textId="77777777" w:rsidR="008350BE" w:rsidRDefault="00000000">
      <w:pPr>
        <w:pBdr>
          <w:left w:val="single" w:sz="12" w:space="0" w:color="0A7E8C"/>
        </w:pBdr>
        <w:spacing w:after="80"/>
        <w:ind w:left="360"/>
      </w:pPr>
      <w:r>
        <w:rPr>
          <w:i/>
          <w:iCs/>
          <w:color w:val="6B7280"/>
          <w:sz w:val="18"/>
          <w:szCs w:val="18"/>
        </w:rPr>
        <w:t>Review by a qualified climate risk professional is recommended before regulatory submission. The CRI Engine is designed as a decision-support tool, not as a substitute for professional judgment.</w:t>
      </w:r>
    </w:p>
    <w:p w14:paraId="747ECFB1" w14:textId="77777777" w:rsidR="008350BE" w:rsidRDefault="008350BE"/>
    <w:p w14:paraId="3FF2A08D" w14:textId="77777777" w:rsidR="008350BE" w:rsidRDefault="00000000">
      <w:pPr>
        <w:pBdr>
          <w:bottom w:val="single" w:sz="8" w:space="0" w:color="0A7E8C"/>
        </w:pBdr>
        <w:spacing w:before="360" w:after="120"/>
      </w:pPr>
      <w:r>
        <w:rPr>
          <w:b/>
          <w:bCs/>
          <w:color w:val="0D2B45"/>
          <w:sz w:val="32"/>
          <w:szCs w:val="32"/>
        </w:rPr>
        <w:t xml:space="preserve">9. About </w:t>
      </w:r>
      <w:proofErr w:type="spellStart"/>
      <w:r>
        <w:rPr>
          <w:b/>
          <w:bCs/>
          <w:color w:val="0D2B45"/>
          <w:sz w:val="32"/>
          <w:szCs w:val="32"/>
        </w:rPr>
        <w:t>ClimRisk</w:t>
      </w:r>
      <w:proofErr w:type="spellEnd"/>
    </w:p>
    <w:p w14:paraId="5A062699" w14:textId="77777777" w:rsidR="008350BE" w:rsidRDefault="00000000">
      <w:pPr>
        <w:spacing w:after="100"/>
        <w:jc w:val="both"/>
      </w:pPr>
      <w:proofErr w:type="spellStart"/>
      <w:r>
        <w:rPr>
          <w:color w:val="111827"/>
        </w:rPr>
        <w:t>ClimRisk</w:t>
      </w:r>
      <w:proofErr w:type="spellEnd"/>
      <w:r>
        <w:rPr>
          <w:color w:val="111827"/>
        </w:rPr>
        <w:t xml:space="preserve"> is an independent climate risk intelligence platform founded to make institutional-grade physical and transition risk analysis accessible to companies and financial institutions of all sizes. The CRI Engine is built on open, peer-reviewed science — the same datasets and frameworks used by central banks, major rating agencies, and the IPCC itself — packaged for practical regulatory and investment use.</w:t>
      </w:r>
    </w:p>
    <w:p w14:paraId="3903B292" w14:textId="77777777" w:rsidR="008350BE" w:rsidRDefault="008350BE"/>
    <w:p w14:paraId="5DE64F99" w14:textId="77777777" w:rsidR="008350BE" w:rsidRDefault="00000000">
      <w:pPr>
        <w:spacing w:after="100"/>
        <w:jc w:val="both"/>
      </w:pPr>
      <w:r>
        <w:rPr>
          <w:color w:val="111827"/>
        </w:rPr>
        <w:t>For partnership discussions, technical enquiries, or to arrange a live demonstration:</w:t>
      </w:r>
    </w:p>
    <w:p w14:paraId="67888223" w14:textId="77777777" w:rsidR="008350BE" w:rsidRDefault="008350BE"/>
    <w:p w14:paraId="7AF56595" w14:textId="5DD6289E" w:rsidR="008350BE" w:rsidRDefault="00000000">
      <w:pPr>
        <w:spacing w:after="40"/>
      </w:pPr>
      <w:r>
        <w:rPr>
          <w:b/>
          <w:bCs/>
          <w:color w:val="0D2B45"/>
        </w:rPr>
        <w:t>Shrinivas</w:t>
      </w:r>
      <w:r w:rsidR="0091698A">
        <w:rPr>
          <w:b/>
          <w:bCs/>
          <w:color w:val="0D2B45"/>
        </w:rPr>
        <w:t>h</w:t>
      </w:r>
      <w:r>
        <w:rPr>
          <w:b/>
          <w:bCs/>
          <w:color w:val="0D2B45"/>
        </w:rPr>
        <w:t xml:space="preserve"> D Kannan  |  </w:t>
      </w:r>
      <w:proofErr w:type="spellStart"/>
      <w:r>
        <w:rPr>
          <w:b/>
          <w:bCs/>
          <w:color w:val="0D2B45"/>
        </w:rPr>
        <w:t>ClimRisk</w:t>
      </w:r>
      <w:proofErr w:type="spellEnd"/>
    </w:p>
    <w:p w14:paraId="46344498" w14:textId="0E65E3F7" w:rsidR="008350BE" w:rsidRDefault="0091698A" w:rsidP="0091698A">
      <w:pPr>
        <w:spacing w:after="40"/>
      </w:pPr>
      <w:hyperlink r:id="rId7" w:history="1">
        <w:r w:rsidRPr="000D3A15">
          <w:rPr>
            <w:rStyle w:val="Hyperlink"/>
          </w:rPr>
          <w:t>shrinivashdkannan@gmail.com</w:t>
        </w:r>
      </w:hyperlink>
    </w:p>
    <w:p w14:paraId="6A9D7988" w14:textId="77777777" w:rsidR="0091698A" w:rsidRDefault="0091698A" w:rsidP="0091698A">
      <w:pPr>
        <w:spacing w:after="40"/>
      </w:pPr>
    </w:p>
    <w:p w14:paraId="5E385BE0" w14:textId="77777777" w:rsidR="008350BE" w:rsidRDefault="00000000">
      <w:pPr>
        <w:pBdr>
          <w:left w:val="single" w:sz="12" w:space="0" w:color="0A7E8C"/>
        </w:pBdr>
        <w:spacing w:after="80"/>
        <w:ind w:left="360"/>
      </w:pPr>
      <w:r>
        <w:rPr>
          <w:i/>
          <w:iCs/>
          <w:color w:val="6B7280"/>
          <w:sz w:val="18"/>
          <w:szCs w:val="18"/>
        </w:rPr>
        <w:t>This methodology document is shared at Tier 2 confidence level for partnership evaluation purposes. Proprietary calibration details, exact model parameters, and technical implementation are available for review under a mutual NDA.</w:t>
      </w:r>
    </w:p>
    <w:sectPr w:rsidR="008350BE">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3236D" w14:textId="77777777" w:rsidR="002A0781" w:rsidRDefault="002A0781">
      <w:r>
        <w:separator/>
      </w:r>
    </w:p>
  </w:endnote>
  <w:endnote w:type="continuationSeparator" w:id="0">
    <w:p w14:paraId="38506BE9" w14:textId="77777777" w:rsidR="002A0781" w:rsidRDefault="002A0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17B3" w14:textId="77777777" w:rsidR="008350BE" w:rsidRDefault="00000000">
    <w:pPr>
      <w:pBdr>
        <w:top w:val="single" w:sz="4" w:space="0" w:color="E5E7EB"/>
      </w:pBdr>
      <w:spacing w:before="60"/>
      <w:jc w:val="center"/>
    </w:pPr>
    <w:r>
      <w:rPr>
        <w:color w:val="6B7280"/>
        <w:sz w:val="16"/>
        <w:szCs w:val="16"/>
      </w:rPr>
      <w:t xml:space="preserve">© 2026 </w:t>
    </w:r>
    <w:proofErr w:type="spellStart"/>
    <w:r>
      <w:rPr>
        <w:color w:val="6B7280"/>
        <w:sz w:val="16"/>
        <w:szCs w:val="16"/>
      </w:rPr>
      <w:t>ClimRisk</w:t>
    </w:r>
    <w:proofErr w:type="spellEnd"/>
    <w:r>
      <w:rPr>
        <w:color w:val="6B7280"/>
        <w:sz w:val="16"/>
        <w:szCs w:val="16"/>
      </w:rPr>
      <w:t xml:space="preserve">. This document is shared in confidence for partnership evaluation purposes only. Page </w:t>
    </w:r>
    <w:r>
      <w:rPr>
        <w:color w:val="6B728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A7DD" w14:textId="77777777" w:rsidR="002A0781" w:rsidRDefault="002A0781">
      <w:r>
        <w:separator/>
      </w:r>
    </w:p>
  </w:footnote>
  <w:footnote w:type="continuationSeparator" w:id="0">
    <w:p w14:paraId="5E766762" w14:textId="77777777" w:rsidR="002A0781" w:rsidRDefault="002A0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0E8D" w14:textId="77777777" w:rsidR="008350BE" w:rsidRDefault="00000000">
    <w:pPr>
      <w:pBdr>
        <w:bottom w:val="single" w:sz="4" w:space="0" w:color="E5E7EB"/>
      </w:pBdr>
      <w:spacing w:after="60"/>
    </w:pPr>
    <w:proofErr w:type="spellStart"/>
    <w:r>
      <w:rPr>
        <w:color w:val="6B7280"/>
        <w:sz w:val="16"/>
        <w:szCs w:val="16"/>
      </w:rPr>
      <w:t>ClimRisk</w:t>
    </w:r>
    <w:proofErr w:type="spellEnd"/>
    <w:r>
      <w:rPr>
        <w:color w:val="6B7280"/>
        <w:sz w:val="16"/>
        <w:szCs w:val="16"/>
      </w:rPr>
      <w:t xml:space="preserve"> · CRI Engine v0.3  |  Methodology Overview  |  CONFIDENTIAL — NOT FOR FURTHER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15442"/>
    <w:multiLevelType w:val="hybridMultilevel"/>
    <w:tmpl w:val="99B09574"/>
    <w:lvl w:ilvl="0" w:tplc="19ECDB24">
      <w:start w:val="1"/>
      <w:numFmt w:val="bullet"/>
      <w:lvlText w:val="●"/>
      <w:lvlJc w:val="left"/>
      <w:pPr>
        <w:ind w:left="720" w:hanging="360"/>
      </w:pPr>
    </w:lvl>
    <w:lvl w:ilvl="1" w:tplc="704EEAEE">
      <w:start w:val="1"/>
      <w:numFmt w:val="bullet"/>
      <w:lvlText w:val="○"/>
      <w:lvlJc w:val="left"/>
      <w:pPr>
        <w:ind w:left="1440" w:hanging="360"/>
      </w:pPr>
    </w:lvl>
    <w:lvl w:ilvl="2" w:tplc="59B60E12">
      <w:start w:val="1"/>
      <w:numFmt w:val="bullet"/>
      <w:lvlText w:val="■"/>
      <w:lvlJc w:val="left"/>
      <w:pPr>
        <w:ind w:left="2160" w:hanging="360"/>
      </w:pPr>
    </w:lvl>
    <w:lvl w:ilvl="3" w:tplc="0F162BF8">
      <w:start w:val="1"/>
      <w:numFmt w:val="bullet"/>
      <w:lvlText w:val="●"/>
      <w:lvlJc w:val="left"/>
      <w:pPr>
        <w:ind w:left="2880" w:hanging="360"/>
      </w:pPr>
    </w:lvl>
    <w:lvl w:ilvl="4" w:tplc="4E765C9E">
      <w:start w:val="1"/>
      <w:numFmt w:val="bullet"/>
      <w:lvlText w:val="○"/>
      <w:lvlJc w:val="left"/>
      <w:pPr>
        <w:ind w:left="3600" w:hanging="360"/>
      </w:pPr>
    </w:lvl>
    <w:lvl w:ilvl="5" w:tplc="78582ABC">
      <w:start w:val="1"/>
      <w:numFmt w:val="bullet"/>
      <w:lvlText w:val="■"/>
      <w:lvlJc w:val="left"/>
      <w:pPr>
        <w:ind w:left="4320" w:hanging="360"/>
      </w:pPr>
    </w:lvl>
    <w:lvl w:ilvl="6" w:tplc="C92EA79C">
      <w:start w:val="1"/>
      <w:numFmt w:val="bullet"/>
      <w:lvlText w:val="●"/>
      <w:lvlJc w:val="left"/>
      <w:pPr>
        <w:ind w:left="5040" w:hanging="360"/>
      </w:pPr>
    </w:lvl>
    <w:lvl w:ilvl="7" w:tplc="773E27C0">
      <w:start w:val="1"/>
      <w:numFmt w:val="bullet"/>
      <w:lvlText w:val="●"/>
      <w:lvlJc w:val="left"/>
      <w:pPr>
        <w:ind w:left="5760" w:hanging="360"/>
      </w:pPr>
    </w:lvl>
    <w:lvl w:ilvl="8" w:tplc="4134FD7C">
      <w:start w:val="1"/>
      <w:numFmt w:val="bullet"/>
      <w:lvlText w:val="●"/>
      <w:lvlJc w:val="left"/>
      <w:pPr>
        <w:ind w:left="6480" w:hanging="360"/>
      </w:pPr>
    </w:lvl>
  </w:abstractNum>
  <w:num w:numId="1" w16cid:durableId="1415127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0BE"/>
    <w:rsid w:val="002A0781"/>
    <w:rsid w:val="00827E6F"/>
    <w:rsid w:val="008350BE"/>
    <w:rsid w:val="0091698A"/>
    <w:rsid w:val="00A52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4701DE"/>
  <w15:docId w15:val="{FE8DEC66-3E67-5045-AFB6-BE5C7FBC0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16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rinivashdkanna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CRI Methodology Overview — Partnership Edition</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 Methodology Overview — Partnership Edition</dc:title>
  <dc:creator>ClimRisk · CRI Engine v0.3</dc:creator>
  <dc:description>Tier 2 methodology summary for Morelli Consulting partnership discussions</dc:description>
  <cp:lastModifiedBy>Shrinivash Dhamodhara Kannan</cp:lastModifiedBy>
  <cp:revision>2</cp:revision>
  <dcterms:created xsi:type="dcterms:W3CDTF">2026-04-30T12:47:00Z</dcterms:created>
  <dcterms:modified xsi:type="dcterms:W3CDTF">2026-04-30T13:05:00Z</dcterms:modified>
</cp:coreProperties>
</file>