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80" w:before="0"/>
      </w:pPr>
      <w:r>
        <w:t xml:space="preserve"/>
      </w:r>
    </w:p>
    <w:p>
      <w:pPr>
        <w:spacing w:after="120" w:before="0"/>
        <w:jc w:val="center"/>
      </w:pPr>
      <w:r>
        <w:rPr>
          <w:rFonts w:ascii="Arial" w:cs="Arial" w:eastAsia="Arial" w:hAnsi="Arial"/>
          <w:b/>
          <w:bCs/>
          <w:color w:val="1A3C5E"/>
          <w:sz w:val="56"/>
          <w:szCs w:val="56"/>
        </w:rPr>
        <w:t xml:space="preserve">CRI Climate Risk Engine</w:t>
      </w:r>
    </w:p>
    <w:p>
      <w:pPr>
        <w:spacing w:after="80" w:before="0"/>
        <w:jc w:val="center"/>
      </w:pPr>
      <w:r>
        <w:rPr>
          <w:rFonts w:ascii="Arial" w:cs="Arial" w:eastAsia="Arial" w:hAnsi="Arial"/>
          <w:b/>
          <w:bCs/>
          <w:color w:val="2A8C7A"/>
          <w:sz w:val="44"/>
          <w:szCs w:val="44"/>
        </w:rPr>
        <w:t xml:space="preserve">Model Validation Study</w:t>
      </w:r>
    </w:p>
    <w:p>
      <w:pPr>
        <w:spacing w:after="80" w:before="0"/>
        <w:jc w:val="center"/>
      </w:pPr>
      <w:r>
        <w:rPr>
          <w:rFonts w:ascii="Arial" w:cs="Arial" w:eastAsia="Arial" w:hAnsi="Arial"/>
          <w:color w:val="555555"/>
          <w:sz w:val="26"/>
          <w:szCs w:val="26"/>
        </w:rPr>
        <w:t xml:space="preserve">Version 1.0</w:t>
      </w:r>
    </w:p>
    <w:p>
      <w:pPr>
        <w:spacing w:after="280" w:before="0"/>
        <w:jc w:val="center"/>
      </w:pPr>
      <w:r>
        <w:rPr>
          <w:rFonts w:ascii="Arial" w:cs="Arial" w:eastAsia="Arial" w:hAnsi="Arial"/>
          <w:color w:val="555555"/>
          <w:sz w:val="26"/>
          <w:szCs w:val="26"/>
        </w:rPr>
        <w:t xml:space="preserve">May 2026</w:t>
      </w:r>
    </w:p>
    <w:p>
      <w:pPr>
        <w:pBdr>
          <w:bottom w:val="single" w:color="2A8C7A" w:sz="6" w:space="1"/>
        </w:pBdr>
        <w:spacing w:after="120" w:before="120"/>
      </w:pPr>
      <w:r>
        <w:t xml:space="preserve"/>
      </w:r>
    </w:p>
    <w:p>
      <w:pPr>
        <w:spacing w:after="160" w:before="0"/>
      </w:pPr>
      <w:r>
        <w:t xml:space="preserve"/>
      </w:r>
    </w:p>
    <w:p>
      <w:pPr>
        <w:jc w:val="center"/>
      </w:pPr>
      <w:r>
        <w:rPr>
          <w:rFonts w:ascii="Arial" w:cs="Arial" w:eastAsia="Arial" w:hAnsi="Arial"/>
          <w:i/>
          <w:iCs/>
          <w:color w:val="888888"/>
          <w:sz w:val="18"/>
          <w:szCs w:val="18"/>
        </w:rPr>
        <w:t xml:space="preserve">CONFIDENTIAL — INTERNAL USE ONLY</w:t>
      </w:r>
    </w:p>
    <w:p>
      <w:r>
        <w:br w:type="page"/>
      </w:r>
    </w:p>
    <w:p>
      <w:pPr>
        <w:pStyle w:val="Heading1"/>
        <w:spacing w:after="120" w:before="360"/>
      </w:pPr>
      <w:r>
        <w:rPr>
          <w:rFonts w:ascii="Arial" w:cs="Arial" w:eastAsia="Arial" w:hAnsi="Arial"/>
          <w:b/>
          <w:bCs/>
          <w:color w:val="1A3C5E"/>
          <w:sz w:val="32"/>
          <w:szCs w:val="32"/>
        </w:rPr>
        <w:t xml:space="preserve">Executive Summary</w:t>
      </w:r>
    </w:p>
    <w:p>
      <w:pPr>
        <w:pBdr>
          <w:bottom w:val="single" w:color="2A8C7A" w:sz="6" w:space="1"/>
        </w:pBdr>
        <w:spacing w:after="120" w:before="120"/>
      </w:pPr>
      <w:r>
        <w:t xml:space="preserve"/>
      </w:r>
    </w:p>
    <w:p>
      <w:pPr>
        <w:spacing w:after="60" w:before="60"/>
      </w:pPr>
      <w:r>
        <w:rPr>
          <w:rFonts w:ascii="Arial" w:cs="Arial" w:eastAsia="Arial" w:hAnsi="Arial"/>
          <w:sz w:val="20"/>
          <w:szCs w:val="20"/>
        </w:rPr>
        <w:t xml:space="preserve">This document presents the results of the CRI Climate Risk Engine Model Validation Study v1.0. The study was conducted against the engine's four seed companies — Shell plc, BHP Group, Rio Tinto, and CRI TestCo — combining live execution of the test suite, structural code review, and comparison against publicly reported climate-related losses.</w:t>
      </w:r>
    </w:p>
    <w:p>
      <w:pPr>
        <w:spacing w:after="80" w:before="0"/>
      </w:pPr>
      <w:r>
        <w:t xml:space="preserve"/>
      </w:r>
    </w:p>
    <w:p>
      <w:pPr>
        <w:spacing w:after="60" w:before="60"/>
      </w:pPr>
      <w:r>
        <w:rPr>
          <w:rFonts w:ascii="Arial" w:cs="Arial" w:eastAsia="Arial" w:hAnsi="Arial"/>
          <w:sz w:val="20"/>
          <w:szCs w:val="20"/>
        </w:rPr>
        <w:t xml:space="preserve">The validation covers 28 discrete tests across five categories: Scenario Ordering, Cross-Company Plausibility, Historical Event Calibration, Sensitivity Analysis, and Edge Case Robustness. Tests were executed by running pytest against the live Python engine on 8 May 2026.</w:t>
      </w:r>
    </w:p>
    <w:p>
      <w:pPr>
        <w:spacing w:after="80" w:before="0"/>
      </w:pPr>
      <w:r>
        <w:t xml:space="preserve"/>
      </w:r>
    </w:p>
    <w:p>
      <w:pPr>
        <w:pStyle w:val="Heading2"/>
        <w:spacing w:after="80" w:before="240"/>
      </w:pPr>
      <w:r>
        <w:rPr>
          <w:rFonts w:ascii="Arial" w:cs="Arial" w:eastAsia="Arial" w:hAnsi="Arial"/>
          <w:b/>
          <w:bCs/>
          <w:color w:val="2A8C7A"/>
          <w:sz w:val="26"/>
          <w:szCs w:val="26"/>
        </w:rPr>
        <w:t xml:space="preserve">Live Execution Results</w:t>
      </w:r>
    </w:p>
    <w:tbl>
      <w:tblPr>
        <w:tblW w:type="dxa" w:w="9386"/>
        <w:tblBorders>
          <w:top w:val="single" w:color="auto" w:sz="4"/>
          <w:left w:val="single" w:color="auto" w:sz="4"/>
          <w:bottom w:val="single" w:color="auto" w:sz="4"/>
          <w:right w:val="single" w:color="auto" w:sz="4"/>
          <w:insideH w:val="single" w:color="auto" w:sz="4"/>
          <w:insideV w:val="single" w:color="auto" w:sz="4"/>
        </w:tblBorders>
      </w:tblPr>
      <w:tblGrid>
        <w:gridCol w:w="2800"/>
        <w:gridCol w:w="1400"/>
        <w:gridCol w:w="5186"/>
      </w:tblGrid>
      <w:tr>
        <w:tc>
          <w:tcPr>
            <w:tcW w:type="dxa" w:w="2800"/>
            <w:tcBorders>
              <w:top w:val="single" w:color="1A3C5E" w:sz="6"/>
              <w:left w:val="single" w:color="1A3C5E" w:sz="6"/>
              <w:bottom w:val="single" w:color="1A3C5E" w:sz="6"/>
              <w:right w:val="single" w:color="1A3C5E" w:sz="6"/>
            </w:tcBorders>
            <w:shd w:fill="1A3C5E"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Category</w:t>
            </w:r>
          </w:p>
        </w:tc>
        <w:tc>
          <w:tcPr>
            <w:tcW w:type="dxa" w:w="1400"/>
            <w:tcBorders>
              <w:top w:val="single" w:color="1A3C5E" w:sz="6"/>
              <w:left w:val="single" w:color="1A3C5E" w:sz="6"/>
              <w:bottom w:val="single" w:color="1A3C5E" w:sz="6"/>
              <w:right w:val="single" w:color="1A3C5E" w:sz="6"/>
            </w:tcBorders>
            <w:shd w:fill="1A3C5E"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Result</w:t>
            </w:r>
          </w:p>
        </w:tc>
        <w:tc>
          <w:tcPr>
            <w:tcW w:type="dxa" w:w="5186"/>
            <w:tcBorders>
              <w:top w:val="single" w:color="1A3C5E" w:sz="6"/>
              <w:left w:val="single" w:color="1A3C5E" w:sz="6"/>
              <w:bottom w:val="single" w:color="1A3C5E" w:sz="6"/>
              <w:right w:val="single" w:color="1A3C5E" w:sz="6"/>
            </w:tcBorders>
            <w:shd w:fill="1A3C5E"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Notes</w:t>
            </w:r>
          </w:p>
        </w:tc>
      </w:tr>
      <w:tr>
        <w:tc>
          <w:tcPr>
            <w:tcW w:type="dxa" w:w="28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Scenario Ordering (6 tests)</w:t>
            </w:r>
          </w:p>
        </w:tc>
        <w:tc>
          <w:tcPr>
            <w:tcW w:type="dxa" w:w="1400"/>
            <w:tcBorders>
              <w:top w:val="single" w:color="CCCCCC" w:sz="4"/>
              <w:left w:val="single" w:color="CCCCCC" w:sz="4"/>
              <w:bottom w:val="single" w:color="CCCCCC" w:sz="4"/>
              <w:right w:val="single" w:color="CCCCCC" w:sz="4"/>
            </w:tcBorders>
            <w:shd w:fill="D6F0D8" w:val="clear"/>
            <w:tcMar>
              <w:top w:type="dxa" w:w="80"/>
              <w:left w:type="dxa" w:w="120"/>
              <w:bottom w:type="dxa" w:w="80"/>
              <w:right w:type="dxa" w:w="120"/>
            </w:tcMar>
            <w:vAlign w:val="center"/>
          </w:tcPr>
          <w:p>
            <w:pPr>
              <w:jc w:val="center"/>
            </w:pPr>
            <w:r>
              <w:rPr>
                <w:rFonts w:ascii="Arial" w:cs="Arial" w:eastAsia="Arial" w:hAnsi="Arial"/>
                <w:b/>
                <w:bCs/>
                <w:color w:val="1A5C1A"/>
                <w:sz w:val="17"/>
                <w:szCs w:val="17"/>
              </w:rPr>
              <w:t xml:space="preserve">PASS</w:t>
            </w:r>
          </w:p>
        </w:tc>
        <w:tc>
          <w:tcPr>
            <w:tcW w:type="dxa" w:w="518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All 6 monotonicity and directional tests pass. WACC ordering confirmed: DT (8.68%) &gt; CP (8.58%) &gt; NZE (8.48%) for Shell.</w:t>
            </w:r>
          </w:p>
        </w:tc>
      </w:tr>
      <w:tr>
        <w:tc>
          <w:tcPr>
            <w:tcW w:type="dxa" w:w="28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Cross-Company Plausibility (5 tests)</w:t>
            </w:r>
          </w:p>
        </w:tc>
        <w:tc>
          <w:tcPr>
            <w:tcW w:type="dxa" w:w="1400"/>
            <w:tcBorders>
              <w:top w:val="single" w:color="CCCCCC" w:sz="4"/>
              <w:left w:val="single" w:color="CCCCCC" w:sz="4"/>
              <w:bottom w:val="single" w:color="CCCCCC" w:sz="4"/>
              <w:right w:val="single" w:color="CCCCCC" w:sz="4"/>
            </w:tcBorders>
            <w:shd w:fill="FAD5D5" w:val="clear"/>
            <w:tcMar>
              <w:top w:type="dxa" w:w="80"/>
              <w:left w:type="dxa" w:w="120"/>
              <w:bottom w:type="dxa" w:w="80"/>
              <w:right w:type="dxa" w:w="120"/>
            </w:tcMar>
            <w:vAlign w:val="center"/>
          </w:tcPr>
          <w:p>
            <w:pPr>
              <w:jc w:val="center"/>
            </w:pPr>
            <w:r>
              <w:rPr>
                <w:rFonts w:ascii="Arial" w:cs="Arial" w:eastAsia="Arial" w:hAnsi="Arial"/>
                <w:b/>
                <w:bCs/>
                <w:color w:val="8B0000"/>
                <w:sz w:val="17"/>
                <w:szCs w:val="17"/>
              </w:rPr>
              <w:t xml:space="preserve">FAIL</w:t>
            </w:r>
          </w:p>
        </w:tc>
        <w:tc>
          <w:tcPr>
            <w:tcW w:type="dxa" w:w="518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4/5 pass. VAL-11 fails: Shell–BHP gap is 6.1 pts vs ≥10 pt threshold. Sector differentiation between Oil &amp; Gas and Mining is insufficient.</w:t>
            </w:r>
          </w:p>
        </w:tc>
      </w:tr>
      <w:tr>
        <w:tc>
          <w:tcPr>
            <w:tcW w:type="dxa" w:w="28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Historical Event Calibration (4 tests)</w:t>
            </w:r>
          </w:p>
        </w:tc>
        <w:tc>
          <w:tcPr>
            <w:tcW w:type="dxa" w:w="1400"/>
            <w:tcBorders>
              <w:top w:val="single" w:color="CCCCCC" w:sz="4"/>
              <w:left w:val="single" w:color="CCCCCC" w:sz="4"/>
              <w:bottom w:val="single" w:color="CCCCCC" w:sz="4"/>
              <w:right w:val="single" w:color="CCCCCC" w:sz="4"/>
            </w:tcBorders>
            <w:shd w:fill="FAD5D5" w:val="clear"/>
            <w:tcMar>
              <w:top w:type="dxa" w:w="80"/>
              <w:left w:type="dxa" w:w="120"/>
              <w:bottom w:type="dxa" w:w="80"/>
              <w:right w:type="dxa" w:w="120"/>
            </w:tcMar>
            <w:vAlign w:val="center"/>
          </w:tcPr>
          <w:p>
            <w:pPr>
              <w:jc w:val="center"/>
            </w:pPr>
            <w:r>
              <w:rPr>
                <w:rFonts w:ascii="Arial" w:cs="Arial" w:eastAsia="Arial" w:hAnsi="Arial"/>
                <w:b/>
                <w:bCs/>
                <w:color w:val="8B0000"/>
                <w:sz w:val="17"/>
                <w:szCs w:val="17"/>
              </w:rPr>
              <w:t xml:space="preserve">FAIL</w:t>
            </w:r>
          </w:p>
        </w:tc>
        <w:tc>
          <w:tcPr>
            <w:tcW w:type="dxa" w:w="518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1/4 pass. VAL-12/13/14 fail: physical_loss_cost output is in USD-millions units (peak $4,562M for BHP), which is 43× higher than the $105M Cyclone Veronica reference. Reveals a physical hazard calibration issue.</w:t>
            </w:r>
          </w:p>
        </w:tc>
      </w:tr>
      <w:tr>
        <w:tc>
          <w:tcPr>
            <w:tcW w:type="dxa" w:w="28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Sensitivity Analysis (5 tests)</w:t>
            </w:r>
          </w:p>
        </w:tc>
        <w:tc>
          <w:tcPr>
            <w:tcW w:type="dxa" w:w="1400"/>
            <w:tcBorders>
              <w:top w:val="single" w:color="CCCCCC" w:sz="4"/>
              <w:left w:val="single" w:color="CCCCCC" w:sz="4"/>
              <w:bottom w:val="single" w:color="CCCCCC" w:sz="4"/>
              <w:right w:val="single" w:color="CCCCCC" w:sz="4"/>
            </w:tcBorders>
            <w:shd w:fill="D6F0D8" w:val="clear"/>
            <w:tcMar>
              <w:top w:type="dxa" w:w="80"/>
              <w:left w:type="dxa" w:w="120"/>
              <w:bottom w:type="dxa" w:w="80"/>
              <w:right w:type="dxa" w:w="120"/>
            </w:tcMar>
            <w:vAlign w:val="center"/>
          </w:tcPr>
          <w:p>
            <w:pPr>
              <w:jc w:val="center"/>
            </w:pPr>
            <w:r>
              <w:rPr>
                <w:rFonts w:ascii="Arial" w:cs="Arial" w:eastAsia="Arial" w:hAnsi="Arial"/>
                <w:b/>
                <w:bCs/>
                <w:color w:val="1A5C1A"/>
                <w:sz w:val="17"/>
                <w:szCs w:val="17"/>
              </w:rPr>
              <w:t xml:space="preserve">PASS</w:t>
            </w:r>
          </w:p>
        </w:tc>
        <w:tc>
          <w:tcPr>
            <w:tcW w:type="dxa" w:w="518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All 5 pass. Model responds monotonically to all tested input changes. Weight profiles correctly isolate composite from pillar scores.</w:t>
            </w:r>
          </w:p>
        </w:tc>
      </w:tr>
      <w:tr>
        <w:tc>
          <w:tcPr>
            <w:tcW w:type="dxa" w:w="28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Edge Case Robustness (7 tests)</w:t>
            </w:r>
          </w:p>
        </w:tc>
        <w:tc>
          <w:tcPr>
            <w:tcW w:type="dxa" w:w="1400"/>
            <w:tcBorders>
              <w:top w:val="single" w:color="CCCCCC" w:sz="4"/>
              <w:left w:val="single" w:color="CCCCCC" w:sz="4"/>
              <w:bottom w:val="single" w:color="CCCCCC" w:sz="4"/>
              <w:right w:val="single" w:color="CCCCCC" w:sz="4"/>
            </w:tcBorders>
            <w:shd w:fill="FAD5D5" w:val="clear"/>
            <w:tcMar>
              <w:top w:type="dxa" w:w="80"/>
              <w:left w:type="dxa" w:w="120"/>
              <w:bottom w:type="dxa" w:w="80"/>
              <w:right w:type="dxa" w:w="120"/>
            </w:tcMar>
            <w:vAlign w:val="center"/>
          </w:tcPr>
          <w:p>
            <w:pPr>
              <w:jc w:val="center"/>
            </w:pPr>
            <w:r>
              <w:rPr>
                <w:rFonts w:ascii="Arial" w:cs="Arial" w:eastAsia="Arial" w:hAnsi="Arial"/>
                <w:b/>
                <w:bCs/>
                <w:color w:val="8B0000"/>
                <w:sz w:val="17"/>
                <w:szCs w:val="17"/>
              </w:rPr>
              <w:t xml:space="preserve">FAIL</w:t>
            </w:r>
          </w:p>
        </w:tc>
        <w:tc>
          <w:tcPr>
            <w:tcW w:type="dxa" w:w="518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6/7 pass. VAL-21 fails: zero-emissions iron ore company receives Transition score of 38.3/100 because commodity demand-shift risk (iron ore demand falls under NZE) is scored regardless of the company's own emissions.</w:t>
            </w:r>
          </w:p>
        </w:tc>
      </w:tr>
    </w:tbl>
    <w:p>
      <w:pPr>
        <w:spacing w:after="80" w:before="0"/>
      </w:pPr>
      <w:r>
        <w:t xml:space="preserve"/>
      </w:r>
    </w:p>
    <w:p>
      <w:pPr>
        <w:pStyle w:val="Heading2"/>
        <w:spacing w:after="80" w:before="240"/>
      </w:pPr>
      <w:r>
        <w:rPr>
          <w:rFonts w:ascii="Arial" w:cs="Arial" w:eastAsia="Arial" w:hAnsi="Arial"/>
          <w:b/>
          <w:bCs/>
          <w:color w:val="2A8C7A"/>
          <w:sz w:val="26"/>
          <w:szCs w:val="26"/>
        </w:rPr>
        <w:t xml:space="preserve">Key Findings</w:t>
      </w:r>
    </w:p>
    <w:p>
      <w:pPr>
        <w:pStyle w:val="ListParagraph"/>
        <w:numPr>
          <w:ilvl w:val="0"/>
          <w:numId w:val="2"/>
        </w:numPr>
        <w:spacing w:after="40" w:before="40"/>
      </w:pPr>
      <w:r>
        <w:rPr>
          <w:rFonts w:ascii="Arial" w:cs="Arial" w:eastAsia="Arial" w:hAnsi="Arial"/>
          <w:sz w:val="20"/>
          <w:szCs w:val="20"/>
        </w:rPr>
        <w:t xml:space="preserve">23 of 28 tests pass on first live execution. The 5 failures expose three genuine model calibration issues (see Section 7).</w:t>
      </w:r>
    </w:p>
    <w:p>
      <w:pPr>
        <w:pStyle w:val="ListParagraph"/>
        <w:numPr>
          <w:ilvl w:val="0"/>
          <w:numId w:val="2"/>
        </w:numPr>
        <w:spacing w:after="40" w:before="40"/>
      </w:pPr>
      <w:r>
        <w:rPr>
          <w:rFonts w:ascii="Arial" w:cs="Arial" w:eastAsia="Arial" w:hAnsi="Arial"/>
          <w:sz w:val="20"/>
          <w:szCs w:val="20"/>
        </w:rPr>
        <w:t xml:space="preserve">Live scores (equal weights): Shell 60.7/D, BHP 54.6/C, Rio Tinto 52.1/C, CRI TestCo 48.2/C. Sector ordering is correct: Oil &amp; Gas scores higher than Mining.</w:t>
      </w:r>
    </w:p>
    <w:p>
      <w:pPr>
        <w:pStyle w:val="ListParagraph"/>
        <w:numPr>
          <w:ilvl w:val="0"/>
          <w:numId w:val="2"/>
        </w:numPr>
        <w:spacing w:after="40" w:before="40"/>
      </w:pPr>
      <w:r>
        <w:rPr>
          <w:rFonts w:ascii="Arial" w:cs="Arial" w:eastAsia="Arial" w:hAnsi="Arial"/>
          <w:sz w:val="20"/>
          <w:szCs w:val="20"/>
        </w:rPr>
        <w:t xml:space="preserve">Physical loss costs are computed in USD millions (consistent with financial data units), but are calibrated to produce $4.6 billion peak annual loss for BHP — approximately 43× the reported Cyclone Veronica impact. Hazard multipliers require recalibration against historical loss data.</w:t>
      </w:r>
    </w:p>
    <w:p>
      <w:pPr>
        <w:pStyle w:val="ListParagraph"/>
        <w:numPr>
          <w:ilvl w:val="0"/>
          <w:numId w:val="2"/>
        </w:numPr>
        <w:spacing w:after="40" w:before="40"/>
      </w:pPr>
      <w:r>
        <w:rPr>
          <w:rFonts w:ascii="Arial" w:cs="Arial" w:eastAsia="Arial" w:hAnsi="Arial"/>
          <w:sz w:val="20"/>
          <w:szCs w:val="20"/>
        </w:rPr>
        <w:t xml:space="preserve">Zero-emissions companies inherit transition risk from commodity demand-shift scoring, even when their own carbon footprint is zero. The threshold of &lt;20/100 for a zero-emissions company is not met (actual: 38.3). Whether this is a bug or a feature depends on product design intent.</w:t>
      </w:r>
    </w:p>
    <w:p>
      <w:pPr>
        <w:pStyle w:val="ListParagraph"/>
        <w:numPr>
          <w:ilvl w:val="0"/>
          <w:numId w:val="2"/>
        </w:numPr>
        <w:spacing w:after="40" w:before="40"/>
      </w:pPr>
      <w:r>
        <w:rPr>
          <w:rFonts w:ascii="Arial" w:cs="Arial" w:eastAsia="Arial" w:hAnsi="Arial"/>
          <w:sz w:val="20"/>
          <w:szCs w:val="20"/>
        </w:rPr>
        <w:t xml:space="preserve">Four structural model issues identified: (1) WACC uplift term always zero in financial score; (2) EBITDA compression cap loses differentiation at high stress levels; (3) Physical hazard magnitudes over-estimated vs historical references; (4) Commodity demand-shift risk not scoped to emitting assets only.</w:t>
      </w:r>
    </w:p>
    <w:p>
      <w:pPr>
        <w:pStyle w:val="ListParagraph"/>
        <w:numPr>
          <w:ilvl w:val="0"/>
          <w:numId w:val="2"/>
        </w:numPr>
        <w:spacing w:after="40" w:before="40"/>
      </w:pPr>
      <w:r>
        <w:rPr>
          <w:rFonts w:ascii="Arial" w:cs="Arial" w:eastAsia="Arial" w:hAnsi="Arial"/>
          <w:sz w:val="20"/>
          <w:szCs w:val="20"/>
        </w:rPr>
        <w:t xml:space="preserve">The Transition score bug (score = 0 when EBITDA ≤ 0) was confirmed fixed by the revenue-denominated scoring refactor.</w:t>
      </w:r>
    </w:p>
    <w:p>
      <w:r>
        <w:br w:type="page"/>
      </w:r>
    </w:p>
    <w:p>
      <w:pPr>
        <w:pStyle w:val="Heading1"/>
        <w:spacing w:after="120" w:before="360"/>
      </w:pPr>
      <w:r>
        <w:rPr>
          <w:rFonts w:ascii="Arial" w:cs="Arial" w:eastAsia="Arial" w:hAnsi="Arial"/>
          <w:b/>
          <w:bCs/>
          <w:color w:val="1A3C5E"/>
          <w:sz w:val="32"/>
          <w:szCs w:val="32"/>
        </w:rPr>
        <w:t xml:space="preserve">1. Validation Methodology</w:t>
      </w:r>
    </w:p>
    <w:p>
      <w:pPr>
        <w:pBdr>
          <w:bottom w:val="single" w:color="2A8C7A" w:sz="6" w:space="1"/>
        </w:pBdr>
        <w:spacing w:after="120" w:before="120"/>
      </w:pPr>
      <w:r>
        <w:t xml:space="preserve"/>
      </w:r>
    </w:p>
    <w:p>
      <w:pPr>
        <w:pStyle w:val="Heading2"/>
        <w:spacing w:after="80" w:before="240"/>
      </w:pPr>
      <w:r>
        <w:rPr>
          <w:rFonts w:ascii="Arial" w:cs="Arial" w:eastAsia="Arial" w:hAnsi="Arial"/>
          <w:b/>
          <w:bCs/>
          <w:color w:val="2A8C7A"/>
          <w:sz w:val="26"/>
          <w:szCs w:val="26"/>
        </w:rPr>
        <w:t xml:space="preserve">1.1 Approach</w:t>
      </w:r>
    </w:p>
    <w:p>
      <w:pPr>
        <w:spacing w:after="60" w:before="60"/>
      </w:pPr>
      <w:r>
        <w:rPr>
          <w:rFonts w:ascii="Arial" w:cs="Arial" w:eastAsia="Arial" w:hAnsi="Arial"/>
          <w:sz w:val="20"/>
          <w:szCs w:val="20"/>
        </w:rPr>
        <w:t xml:space="preserve">This study uses three complementary methods:</w:t>
      </w:r>
    </w:p>
    <w:p>
      <w:pPr>
        <w:pStyle w:val="ListParagraph"/>
        <w:numPr>
          <w:ilvl w:val="0"/>
          <w:numId w:val="2"/>
        </w:numPr>
        <w:spacing w:after="40" w:before="40"/>
      </w:pPr>
      <w:r>
        <w:rPr>
          <w:rFonts w:ascii="Arial" w:cs="Arial" w:eastAsia="Arial" w:hAnsi="Arial"/>
          <w:sz w:val="20"/>
          <w:szCs w:val="20"/>
        </w:rPr>
        <w:t xml:space="preserve">Structural code review — reading the source of scenarios.py, company.py, metrics.py, dcf.py, and ratings.py to derive expected outputs analytically and verify formula logic.</w:t>
      </w:r>
    </w:p>
    <w:p>
      <w:pPr>
        <w:pStyle w:val="ListParagraph"/>
        <w:numPr>
          <w:ilvl w:val="0"/>
          <w:numId w:val="2"/>
        </w:numPr>
        <w:spacing w:after="40" w:before="40"/>
      </w:pPr>
      <w:r>
        <w:rPr>
          <w:rFonts w:ascii="Arial" w:cs="Arial" w:eastAsia="Arial" w:hAnsi="Arial"/>
          <w:sz w:val="20"/>
          <w:szCs w:val="20"/>
        </w:rPr>
        <w:t xml:space="preserve">Live test execution — running pytest tests/test_validation.py -v -s against the live Python engine on 8 May 2026, recording actual computed scores.</w:t>
      </w:r>
    </w:p>
    <w:p>
      <w:pPr>
        <w:pStyle w:val="ListParagraph"/>
        <w:numPr>
          <w:ilvl w:val="0"/>
          <w:numId w:val="2"/>
        </w:numPr>
        <w:spacing w:after="40" w:before="40"/>
      </w:pPr>
      <w:r>
        <w:rPr>
          <w:rFonts w:ascii="Arial" w:cs="Arial" w:eastAsia="Arial" w:hAnsi="Arial"/>
          <w:sz w:val="20"/>
          <w:szCs w:val="20"/>
        </w:rPr>
        <w:t xml:space="preserve">Historical benchmarking — comparing model-implied physical loss ranges against publicly reported climate-event losses from four reference events.</w:t>
      </w:r>
    </w:p>
    <w:p>
      <w:pPr>
        <w:spacing w:after="80" w:before="0"/>
      </w:pPr>
      <w:r>
        <w:t xml:space="preserve"/>
      </w:r>
    </w:p>
    <w:p>
      <w:pPr>
        <w:spacing w:after="60" w:before="60"/>
      </w:pPr>
      <w:r>
        <w:rPr>
          <w:rFonts w:ascii="Arial" w:cs="Arial" w:eastAsia="Arial" w:hAnsi="Arial"/>
          <w:sz w:val="20"/>
          <w:szCs w:val="20"/>
        </w:rPr>
        <w:t xml:space="preserve">All 28 tests were executed live. Actual computed scores are reported in Section 3 alongside the analytical derivations used to construct each test threshold.</w:t>
      </w:r>
    </w:p>
    <w:p>
      <w:pPr>
        <w:spacing w:after="80" w:before="0"/>
      </w:pPr>
      <w:r>
        <w:t xml:space="preserve"/>
      </w:r>
    </w:p>
    <w:p>
      <w:pPr>
        <w:pStyle w:val="Heading2"/>
        <w:spacing w:after="80" w:before="240"/>
      </w:pPr>
      <w:r>
        <w:rPr>
          <w:rFonts w:ascii="Arial" w:cs="Arial" w:eastAsia="Arial" w:hAnsi="Arial"/>
          <w:b/>
          <w:bCs/>
          <w:color w:val="2A8C7A"/>
          <w:sz w:val="26"/>
          <w:szCs w:val="26"/>
        </w:rPr>
        <w:t xml:space="preserve">1.2 Test Companies</w:t>
      </w:r>
    </w:p>
    <w:tbl>
      <w:tblPr>
        <w:tblW w:type="dxa" w:w="9386"/>
        <w:tblBorders>
          <w:top w:val="single" w:color="auto" w:sz="4"/>
          <w:left w:val="single" w:color="auto" w:sz="4"/>
          <w:bottom w:val="single" w:color="auto" w:sz="4"/>
          <w:right w:val="single" w:color="auto" w:sz="4"/>
          <w:insideH w:val="single" w:color="auto" w:sz="4"/>
          <w:insideV w:val="single" w:color="auto" w:sz="4"/>
        </w:tblBorders>
      </w:tblPr>
      <w:tblGrid>
        <w:gridCol w:w="1800"/>
        <w:gridCol w:w="1500"/>
        <w:gridCol w:w="1600"/>
        <w:gridCol w:w="4486"/>
      </w:tblGrid>
      <w:tr>
        <w:tc>
          <w:tcPr>
            <w:tcW w:type="dxa" w:w="1800"/>
            <w:tcBorders>
              <w:top w:val="single" w:color="1A3C5E" w:sz="6"/>
              <w:left w:val="single" w:color="1A3C5E" w:sz="6"/>
              <w:bottom w:val="single" w:color="1A3C5E" w:sz="6"/>
              <w:right w:val="single" w:color="1A3C5E" w:sz="6"/>
            </w:tcBorders>
            <w:shd w:fill="1A3C5E"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Company</w:t>
            </w:r>
          </w:p>
        </w:tc>
        <w:tc>
          <w:tcPr>
            <w:tcW w:type="dxa" w:w="1500"/>
            <w:tcBorders>
              <w:top w:val="single" w:color="1A3C5E" w:sz="6"/>
              <w:left w:val="single" w:color="1A3C5E" w:sz="6"/>
              <w:bottom w:val="single" w:color="1A3C5E" w:sz="6"/>
              <w:right w:val="single" w:color="1A3C5E" w:sz="6"/>
            </w:tcBorders>
            <w:shd w:fill="1A3C5E"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Sector</w:t>
            </w:r>
          </w:p>
        </w:tc>
        <w:tc>
          <w:tcPr>
            <w:tcW w:type="dxa" w:w="1600"/>
            <w:tcBorders>
              <w:top w:val="single" w:color="1A3C5E" w:sz="6"/>
              <w:left w:val="single" w:color="1A3C5E" w:sz="6"/>
              <w:bottom w:val="single" w:color="1A3C5E" w:sz="6"/>
              <w:right w:val="single" w:color="1A3C5E" w:sz="6"/>
            </w:tcBorders>
            <w:shd w:fill="1A3C5E"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Revenue (USD)</w:t>
            </w:r>
          </w:p>
        </w:tc>
        <w:tc>
          <w:tcPr>
            <w:tcW w:type="dxa" w:w="4486"/>
            <w:tcBorders>
              <w:top w:val="single" w:color="1A3C5E" w:sz="6"/>
              <w:left w:val="single" w:color="1A3C5E" w:sz="6"/>
              <w:bottom w:val="single" w:color="1A3C5E" w:sz="6"/>
              <w:right w:val="single" w:color="1A3C5E" w:sz="6"/>
            </w:tcBorders>
            <w:shd w:fill="1A3C5E"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Key Assets</w:t>
            </w:r>
          </w:p>
        </w:tc>
      </w:tr>
      <w:tr>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Shell plc</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Oil &amp; Gas</w:t>
            </w:r>
          </w:p>
        </w:tc>
        <w:tc>
          <w:tcPr>
            <w:tcW w:type="dxa" w:w="16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$380 bn</w:t>
            </w:r>
          </w:p>
        </w:tc>
        <w:tc>
          <w:tcPr>
            <w:tcW w:type="dxa" w:w="448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Permian Basin (crude), LNG Australia (gas)</w:t>
            </w:r>
          </w:p>
        </w:tc>
      </w:tr>
      <w:tr>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BHP Group</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Diversified Mining</w:t>
            </w:r>
          </w:p>
        </w:tc>
        <w:tc>
          <w:tcPr>
            <w:tcW w:type="dxa" w:w="16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$62.5 bn</w:t>
            </w:r>
          </w:p>
        </w:tc>
        <w:tc>
          <w:tcPr>
            <w:tcW w:type="dxa" w:w="448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Pilbara iron ore, Olympic Dam Cu, QLD coal, Nickel West</w:t>
            </w:r>
          </w:p>
        </w:tc>
      </w:tr>
      <w:tr>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Rio Tinto</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Diversified Mining</w:t>
            </w:r>
          </w:p>
        </w:tc>
        <w:tc>
          <w:tcPr>
            <w:tcW w:type="dxa" w:w="16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$53.8 bn</w:t>
            </w:r>
          </w:p>
        </w:tc>
        <w:tc>
          <w:tcPr>
            <w:tcW w:type="dxa" w:w="448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Pilbara iron ore, Oyu Tolgoi Cu-Au (Mongolia), Aluminium (Pacific)</w:t>
            </w:r>
          </w:p>
        </w:tc>
      </w:tr>
      <w:tr>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CRI TestCo</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Mining (fictional)</w:t>
            </w:r>
          </w:p>
        </w:tc>
        <w:tc>
          <w:tcPr>
            <w:tcW w:type="dxa" w:w="16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$55 bn</w:t>
            </w:r>
          </w:p>
        </w:tc>
        <w:tc>
          <w:tcPr>
            <w:tcW w:type="dxa" w:w="448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Pilbara iron ore, Chilean copper JV, Canadian aluminium smelter</w:t>
            </w:r>
          </w:p>
        </w:tc>
      </w:tr>
    </w:tbl>
    <w:p>
      <w:pPr>
        <w:spacing w:after="80" w:before="0"/>
      </w:pPr>
      <w:r>
        <w:t xml:space="preserve"/>
      </w:r>
    </w:p>
    <w:p>
      <w:pPr>
        <w:pStyle w:val="Heading2"/>
        <w:spacing w:after="80" w:before="240"/>
      </w:pPr>
      <w:r>
        <w:rPr>
          <w:rFonts w:ascii="Arial" w:cs="Arial" w:eastAsia="Arial" w:hAnsi="Arial"/>
          <w:b/>
          <w:bCs/>
          <w:color w:val="2A8C7A"/>
          <w:sz w:val="26"/>
          <w:szCs w:val="26"/>
        </w:rPr>
        <w:t xml:space="preserve">1.3 Verdict Definitions</w:t>
      </w:r>
    </w:p>
    <w:tbl>
      <w:tblPr>
        <w:tblW w:type="dxa" w:w="9386"/>
        <w:tblBorders>
          <w:top w:val="single" w:color="auto" w:sz="4"/>
          <w:left w:val="single" w:color="auto" w:sz="4"/>
          <w:bottom w:val="single" w:color="auto" w:sz="4"/>
          <w:right w:val="single" w:color="auto" w:sz="4"/>
          <w:insideH w:val="single" w:color="auto" w:sz="4"/>
          <w:insideV w:val="single" w:color="auto" w:sz="4"/>
        </w:tblBorders>
      </w:tblPr>
      <w:tblGrid>
        <w:gridCol w:w="1800"/>
        <w:gridCol w:w="7586"/>
      </w:tblGrid>
      <w:tr>
        <w:tc>
          <w:tcPr>
            <w:tcW w:type="dxa" w:w="1800"/>
            <w:tcBorders>
              <w:top w:val="single" w:color="1A3C5E" w:sz="6"/>
              <w:left w:val="single" w:color="1A3C5E" w:sz="6"/>
              <w:bottom w:val="single" w:color="1A3C5E" w:sz="6"/>
              <w:right w:val="single" w:color="1A3C5E" w:sz="6"/>
            </w:tcBorders>
            <w:shd w:fill="1A3C5E"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Verdict</w:t>
            </w:r>
          </w:p>
        </w:tc>
        <w:tc>
          <w:tcPr>
            <w:tcW w:type="dxa" w:w="7586"/>
            <w:tcBorders>
              <w:top w:val="single" w:color="1A3C5E" w:sz="6"/>
              <w:left w:val="single" w:color="1A3C5E" w:sz="6"/>
              <w:bottom w:val="single" w:color="1A3C5E" w:sz="6"/>
              <w:right w:val="single" w:color="1A3C5E" w:sz="6"/>
            </w:tcBorders>
            <w:shd w:fill="1A3C5E"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Definition</w:t>
            </w:r>
          </w:p>
        </w:tc>
      </w:tr>
      <w:tr>
        <w:tc>
          <w:tcPr>
            <w:tcW w:type="dxa" w:w="1800"/>
            <w:tcBorders>
              <w:top w:val="single" w:color="CCCCCC" w:sz="4"/>
              <w:left w:val="single" w:color="CCCCCC" w:sz="4"/>
              <w:bottom w:val="single" w:color="CCCCCC" w:sz="4"/>
              <w:right w:val="single" w:color="CCCCCC" w:sz="4"/>
            </w:tcBorders>
            <w:shd w:fill="D6F0D8" w:val="clear"/>
            <w:tcMar>
              <w:top w:type="dxa" w:w="80"/>
              <w:left w:type="dxa" w:w="120"/>
              <w:bottom w:type="dxa" w:w="80"/>
              <w:right w:type="dxa" w:w="120"/>
            </w:tcMar>
            <w:vAlign w:val="center"/>
          </w:tcPr>
          <w:p>
            <w:pPr>
              <w:jc w:val="center"/>
            </w:pPr>
            <w:r>
              <w:rPr>
                <w:rFonts w:ascii="Arial" w:cs="Arial" w:eastAsia="Arial" w:hAnsi="Arial"/>
                <w:b/>
                <w:bCs/>
                <w:color w:val="1A5C1A"/>
                <w:sz w:val="17"/>
                <w:szCs w:val="17"/>
              </w:rPr>
              <w:t xml:space="preserve">PASS</w:t>
            </w:r>
          </w:p>
        </w:tc>
        <w:tc>
          <w:tcPr>
            <w:tcW w:type="dxa" w:w="758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Output meets the stated criterion based on analytical derivation or structural guarantee.</w:t>
            </w:r>
          </w:p>
        </w:tc>
      </w:tr>
      <w:tr>
        <w:tc>
          <w:tcPr>
            <w:tcW w:type="dxa" w:w="1800"/>
            <w:tcBorders>
              <w:top w:val="single" w:color="CCCCCC" w:sz="4"/>
              <w:left w:val="single" w:color="CCCCCC" w:sz="4"/>
              <w:bottom w:val="single" w:color="CCCCCC" w:sz="4"/>
              <w:right w:val="single" w:color="CCCCCC" w:sz="4"/>
            </w:tcBorders>
            <w:shd w:fill="FFF3CD" w:val="clear"/>
            <w:tcMar>
              <w:top w:type="dxa" w:w="80"/>
              <w:left w:type="dxa" w:w="120"/>
              <w:bottom w:type="dxa" w:w="80"/>
              <w:right w:type="dxa" w:w="120"/>
            </w:tcMar>
            <w:vAlign w:val="center"/>
          </w:tcPr>
          <w:p>
            <w:pPr>
              <w:jc w:val="center"/>
            </w:pPr>
            <w:r>
              <w:rPr>
                <w:rFonts w:ascii="Arial" w:cs="Arial" w:eastAsia="Arial" w:hAnsi="Arial"/>
                <w:b/>
                <w:bCs/>
                <w:color w:val="7B5600"/>
                <w:sz w:val="17"/>
                <w:szCs w:val="17"/>
              </w:rPr>
              <w:t xml:space="preserve">CONDITIONAL PASS</w:t>
            </w:r>
          </w:p>
        </w:tc>
        <w:tc>
          <w:tcPr>
            <w:tcW w:type="dxa" w:w="758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Directionally correct but the exact magnitude cannot be confirmed without live execution, or the result is sensitive to hazard-engine inputs that were not fully traceable.</w:t>
            </w:r>
          </w:p>
        </w:tc>
      </w:tr>
      <w:tr>
        <w:tc>
          <w:tcPr>
            <w:tcW w:type="dxa" w:w="1800"/>
            <w:tcBorders>
              <w:top w:val="single" w:color="CCCCCC" w:sz="4"/>
              <w:left w:val="single" w:color="CCCCCC" w:sz="4"/>
              <w:bottom w:val="single" w:color="CCCCCC" w:sz="4"/>
              <w:right w:val="single" w:color="CCCCCC" w:sz="4"/>
            </w:tcBorders>
            <w:shd w:fill="FAD5D5" w:val="clear"/>
            <w:tcMar>
              <w:top w:type="dxa" w:w="80"/>
              <w:left w:type="dxa" w:w="120"/>
              <w:bottom w:type="dxa" w:w="80"/>
              <w:right w:type="dxa" w:w="120"/>
            </w:tcMar>
            <w:vAlign w:val="center"/>
          </w:tcPr>
          <w:p>
            <w:pPr>
              <w:jc w:val="center"/>
            </w:pPr>
            <w:r>
              <w:rPr>
                <w:rFonts w:ascii="Arial" w:cs="Arial" w:eastAsia="Arial" w:hAnsi="Arial"/>
                <w:b/>
                <w:bCs/>
                <w:color w:val="8B0000"/>
                <w:sz w:val="17"/>
                <w:szCs w:val="17"/>
              </w:rPr>
              <w:t xml:space="preserve">FAIL</w:t>
            </w:r>
          </w:p>
        </w:tc>
        <w:tc>
          <w:tcPr>
            <w:tcW w:type="dxa" w:w="758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Output does not meet the criterion, or the test logic itself was found to be incorrect (in which case the test is corrected and re-classified).</w:t>
            </w:r>
          </w:p>
        </w:tc>
      </w:tr>
    </w:tbl>
    <w:p>
      <w:r>
        <w:br w:type="page"/>
      </w:r>
    </w:p>
    <w:p>
      <w:pPr>
        <w:pStyle w:val="Heading1"/>
        <w:spacing w:after="120" w:before="360"/>
      </w:pPr>
      <w:r>
        <w:rPr>
          <w:rFonts w:ascii="Arial" w:cs="Arial" w:eastAsia="Arial" w:hAnsi="Arial"/>
          <w:b/>
          <w:bCs/>
          <w:color w:val="1A3C5E"/>
          <w:sz w:val="32"/>
          <w:szCs w:val="32"/>
        </w:rPr>
        <w:t xml:space="preserve">2. Category 1: Scenario Ordering</w:t>
      </w:r>
    </w:p>
    <w:p>
      <w:pPr>
        <w:pBdr>
          <w:bottom w:val="single" w:color="2A8C7A" w:sz="6" w:space="1"/>
        </w:pBdr>
        <w:spacing w:after="120" w:before="120"/>
      </w:pPr>
      <w:r>
        <w:t xml:space="preserve"/>
      </w:r>
    </w:p>
    <w:p>
      <w:pPr>
        <w:spacing w:after="60" w:before="60"/>
      </w:pPr>
      <w:r>
        <w:rPr>
          <w:rFonts w:ascii="Arial" w:cs="Arial" w:eastAsia="Arial" w:hAnsi="Arial"/>
          <w:sz w:val="20"/>
          <w:szCs w:val="20"/>
        </w:rPr>
        <w:t xml:space="preserve">These tests verify that the three NGFS scenarios produce outputs in the correct direction. All six are structural guarantees derived from the scenario parameter files (scenarios.py).</w:t>
      </w:r>
    </w:p>
    <w:p>
      <w:pPr>
        <w:spacing w:after="80" w:before="0"/>
      </w:pPr>
      <w:r>
        <w:t xml:space="preserve"/>
      </w:r>
    </w:p>
    <w:tbl>
      <w:tblPr>
        <w:tblW w:type="dxa" w:w="9386"/>
        <w:tblBorders>
          <w:top w:val="single" w:color="auto" w:sz="4"/>
          <w:left w:val="single" w:color="auto" w:sz="4"/>
          <w:bottom w:val="single" w:color="auto" w:sz="4"/>
          <w:right w:val="single" w:color="auto" w:sz="4"/>
          <w:insideH w:val="single" w:color="auto" w:sz="4"/>
          <w:insideV w:val="single" w:color="auto" w:sz="4"/>
        </w:tblBorders>
      </w:tblPr>
      <w:tblGrid>
        <w:gridCol w:w="800"/>
        <w:gridCol w:w="2100"/>
        <w:gridCol w:w="1400"/>
        <w:gridCol w:w="2643"/>
        <w:gridCol w:w="2443"/>
      </w:tblGrid>
      <w:tr>
        <w:tc>
          <w:tcPr>
            <w:tcW w:type="dxa" w:w="800"/>
            <w:tcBorders>
              <w:top w:val="single" w:color="1A3C5E" w:sz="6"/>
              <w:left w:val="single" w:color="1A3C5E" w:sz="6"/>
              <w:bottom w:val="single" w:color="1A3C5E" w:sz="6"/>
              <w:right w:val="single" w:color="1A3C5E" w:sz="6"/>
            </w:tcBorders>
            <w:shd w:fill="1A3C5E"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ID</w:t>
            </w:r>
          </w:p>
        </w:tc>
        <w:tc>
          <w:tcPr>
            <w:tcW w:type="dxa" w:w="2100"/>
            <w:tcBorders>
              <w:top w:val="single" w:color="1A3C5E" w:sz="6"/>
              <w:left w:val="single" w:color="1A3C5E" w:sz="6"/>
              <w:bottom w:val="single" w:color="1A3C5E" w:sz="6"/>
              <w:right w:val="single" w:color="1A3C5E" w:sz="6"/>
            </w:tcBorders>
            <w:shd w:fill="1A3C5E"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Test</w:t>
            </w:r>
          </w:p>
        </w:tc>
        <w:tc>
          <w:tcPr>
            <w:tcW w:type="dxa" w:w="1400"/>
            <w:tcBorders>
              <w:top w:val="single" w:color="1A3C5E" w:sz="6"/>
              <w:left w:val="single" w:color="1A3C5E" w:sz="6"/>
              <w:bottom w:val="single" w:color="1A3C5E" w:sz="6"/>
              <w:right w:val="single" w:color="1A3C5E" w:sz="6"/>
            </w:tcBorders>
            <w:shd w:fill="1A3C5E"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Verdict</w:t>
            </w:r>
          </w:p>
        </w:tc>
        <w:tc>
          <w:tcPr>
            <w:tcW w:type="dxa" w:w="2643"/>
            <w:tcBorders>
              <w:top w:val="single" w:color="1A3C5E" w:sz="6"/>
              <w:left w:val="single" w:color="1A3C5E" w:sz="6"/>
              <w:bottom w:val="single" w:color="1A3C5E" w:sz="6"/>
              <w:right w:val="single" w:color="1A3C5E" w:sz="6"/>
            </w:tcBorders>
            <w:shd w:fill="1A3C5E"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Analytical Basis</w:t>
            </w:r>
          </w:p>
        </w:tc>
        <w:tc>
          <w:tcPr>
            <w:tcW w:type="dxa" w:w="2443"/>
            <w:tcBorders>
              <w:top w:val="single" w:color="1A3C5E" w:sz="6"/>
              <w:left w:val="single" w:color="1A3C5E" w:sz="6"/>
              <w:bottom w:val="single" w:color="1A3C5E" w:sz="6"/>
              <w:right w:val="single" w:color="1A3C5E" w:sz="6"/>
            </w:tcBorders>
            <w:shd w:fill="1A3C5E"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Reference</w:t>
            </w:r>
          </w:p>
        </w:tc>
      </w:tr>
      <w:tr>
        <w:tc>
          <w:tcPr>
            <w:tcW w:type="dxa" w:w="8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VAL-01</w:t>
            </w:r>
          </w:p>
        </w:tc>
        <w:tc>
          <w:tcPr>
            <w:tcW w:type="dxa" w:w="21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CP physical loss &gt; NZE (all companies)</w:t>
            </w:r>
          </w:p>
        </w:tc>
        <w:tc>
          <w:tcPr>
            <w:tcW w:type="dxa" w:w="1400"/>
            <w:tcBorders>
              <w:top w:val="single" w:color="CCCCCC" w:sz="4"/>
              <w:left w:val="single" w:color="CCCCCC" w:sz="4"/>
              <w:bottom w:val="single" w:color="CCCCCC" w:sz="4"/>
              <w:right w:val="single" w:color="CCCCCC" w:sz="4"/>
            </w:tcBorders>
            <w:shd w:fill="D6F0D8" w:val="clear"/>
            <w:tcMar>
              <w:top w:type="dxa" w:w="80"/>
              <w:left w:type="dxa" w:w="120"/>
              <w:bottom w:type="dxa" w:w="80"/>
              <w:right w:type="dxa" w:w="120"/>
            </w:tcMar>
            <w:vAlign w:val="center"/>
          </w:tcPr>
          <w:p>
            <w:pPr>
              <w:jc w:val="center"/>
            </w:pPr>
            <w:r>
              <w:rPr>
                <w:rFonts w:ascii="Arial" w:cs="Arial" w:eastAsia="Arial" w:hAnsi="Arial"/>
                <w:b/>
                <w:bCs/>
                <w:color w:val="1A5C1A"/>
                <w:sz w:val="17"/>
                <w:szCs w:val="17"/>
              </w:rPr>
              <w:t xml:space="preserve">PASS</w:t>
            </w:r>
          </w:p>
        </w:tc>
        <w:tc>
          <w:tcPr>
            <w:tcW w:type="dxa" w:w="264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CP hazard paths reach 6–8% production loss by 2050; NZE caps at 2–3%. Guaranteed by scenario hazard parameter values.</w:t>
            </w:r>
          </w:p>
        </w:tc>
        <w:tc>
          <w:tcPr>
            <w:tcW w:type="dxa" w:w="244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IPCC AR6 WG1 Ch11: physical hazard severity scales with warming pathway.</w:t>
            </w:r>
          </w:p>
        </w:tc>
      </w:tr>
      <w:tr>
        <w:tc>
          <w:tcPr>
            <w:tcW w:type="dxa" w:w="8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VAL-02</w:t>
            </w:r>
          </w:p>
        </w:tc>
        <w:tc>
          <w:tcPr>
            <w:tcW w:type="dxa" w:w="21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NZE carbon cost &gt; CP at 2040 (all companies)</w:t>
            </w:r>
          </w:p>
        </w:tc>
        <w:tc>
          <w:tcPr>
            <w:tcW w:type="dxa" w:w="1400"/>
            <w:tcBorders>
              <w:top w:val="single" w:color="CCCCCC" w:sz="4"/>
              <w:left w:val="single" w:color="CCCCCC" w:sz="4"/>
              <w:bottom w:val="single" w:color="CCCCCC" w:sz="4"/>
              <w:right w:val="single" w:color="CCCCCC" w:sz="4"/>
            </w:tcBorders>
            <w:shd w:fill="D6F0D8" w:val="clear"/>
            <w:tcMar>
              <w:top w:type="dxa" w:w="80"/>
              <w:left w:type="dxa" w:w="120"/>
              <w:bottom w:type="dxa" w:w="80"/>
              <w:right w:type="dxa" w:w="120"/>
            </w:tcMar>
            <w:vAlign w:val="center"/>
          </w:tcPr>
          <w:p>
            <w:pPr>
              <w:jc w:val="center"/>
            </w:pPr>
            <w:r>
              <w:rPr>
                <w:rFonts w:ascii="Arial" w:cs="Arial" w:eastAsia="Arial" w:hAnsi="Arial"/>
                <w:b/>
                <w:bCs/>
                <w:color w:val="1A5C1A"/>
                <w:sz w:val="17"/>
                <w:szCs w:val="17"/>
              </w:rPr>
              <w:t xml:space="preserve">PASS</w:t>
            </w:r>
          </w:p>
        </w:tc>
        <w:tc>
          <w:tcPr>
            <w:tcW w:type="dxa" w:w="264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NZE carbon price 2040 = $200/tCO2e; CP = $60/tCO2e. Ratio 3.3x; applied to same emissions base → NZE cost always higher.</w:t>
            </w:r>
          </w:p>
        </w:tc>
        <w:tc>
          <w:tcPr>
            <w:tcW w:type="dxa" w:w="244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NGFS Phase 4 (2023) carbon price pathways, IIASA database.</w:t>
            </w:r>
          </w:p>
        </w:tc>
      </w:tr>
      <w:tr>
        <w:tc>
          <w:tcPr>
            <w:tcW w:type="dxa" w:w="8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VAL-03</w:t>
            </w:r>
          </w:p>
        </w:tc>
        <w:tc>
          <w:tcPr>
            <w:tcW w:type="dxa" w:w="21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DT physical loss between NZE and CP</w:t>
            </w:r>
          </w:p>
        </w:tc>
        <w:tc>
          <w:tcPr>
            <w:tcW w:type="dxa" w:w="1400"/>
            <w:tcBorders>
              <w:top w:val="single" w:color="CCCCCC" w:sz="4"/>
              <w:left w:val="single" w:color="CCCCCC" w:sz="4"/>
              <w:bottom w:val="single" w:color="CCCCCC" w:sz="4"/>
              <w:right w:val="single" w:color="CCCCCC" w:sz="4"/>
            </w:tcBorders>
            <w:shd w:fill="D6F0D8" w:val="clear"/>
            <w:tcMar>
              <w:top w:type="dxa" w:w="80"/>
              <w:left w:type="dxa" w:w="120"/>
              <w:bottom w:type="dxa" w:w="80"/>
              <w:right w:type="dxa" w:w="120"/>
            </w:tcMar>
            <w:vAlign w:val="center"/>
          </w:tcPr>
          <w:p>
            <w:pPr>
              <w:jc w:val="center"/>
            </w:pPr>
            <w:r>
              <w:rPr>
                <w:rFonts w:ascii="Arial" w:cs="Arial" w:eastAsia="Arial" w:hAnsi="Arial"/>
                <w:b/>
                <w:bCs/>
                <w:color w:val="1A5C1A"/>
                <w:sz w:val="17"/>
                <w:szCs w:val="17"/>
              </w:rPr>
              <w:t xml:space="preserve">PASS</w:t>
            </w:r>
          </w:p>
        </w:tc>
        <w:tc>
          <w:tcPr>
            <w:tcW w:type="dxa" w:w="264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DT hazard paths sit between NZE and CP at every year. Piecewise-linear interpolation guarantees strict ordering.</w:t>
            </w:r>
          </w:p>
        </w:tc>
        <w:tc>
          <w:tcPr>
            <w:tcW w:type="dxa" w:w="244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NGFS Phase 4 DT scenario physical risk assumptions.</w:t>
            </w:r>
          </w:p>
        </w:tc>
      </w:tr>
      <w:tr>
        <w:tc>
          <w:tcPr>
            <w:tcW w:type="dxa" w:w="8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VAL-04</w:t>
            </w:r>
          </w:p>
        </w:tc>
        <w:tc>
          <w:tcPr>
            <w:tcW w:type="dxa" w:w="21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NZE enterprise value &lt; CP (Shell, BHP)</w:t>
            </w:r>
          </w:p>
        </w:tc>
        <w:tc>
          <w:tcPr>
            <w:tcW w:type="dxa" w:w="1400"/>
            <w:tcBorders>
              <w:top w:val="single" w:color="CCCCCC" w:sz="4"/>
              <w:left w:val="single" w:color="CCCCCC" w:sz="4"/>
              <w:bottom w:val="single" w:color="CCCCCC" w:sz="4"/>
              <w:right w:val="single" w:color="CCCCCC" w:sz="4"/>
            </w:tcBorders>
            <w:shd w:fill="D6F0D8" w:val="clear"/>
            <w:tcMar>
              <w:top w:type="dxa" w:w="80"/>
              <w:left w:type="dxa" w:w="120"/>
              <w:bottom w:type="dxa" w:w="80"/>
              <w:right w:type="dxa" w:w="120"/>
            </w:tcMar>
            <w:vAlign w:val="center"/>
          </w:tcPr>
          <w:p>
            <w:pPr>
              <w:jc w:val="center"/>
            </w:pPr>
            <w:r>
              <w:rPr>
                <w:rFonts w:ascii="Arial" w:cs="Arial" w:eastAsia="Arial" w:hAnsi="Arial"/>
                <w:b/>
                <w:bCs/>
                <w:color w:val="1A5C1A"/>
                <w:sz w:val="17"/>
                <w:szCs w:val="17"/>
              </w:rPr>
              <w:t xml:space="preserve">PASS</w:t>
            </w:r>
          </w:p>
        </w:tc>
        <w:tc>
          <w:tcPr>
            <w:tcW w:type="dxa" w:w="264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For Shell: crude oil demand falls to 35% of baseline by 2050 under NZE. Revenue collapse (~60%) exceeds WACC benefit (50 bps). For BHP: copper upside partially offsets coal losses; directionally the same.</w:t>
            </w:r>
          </w:p>
        </w:tc>
        <w:tc>
          <w:tcPr>
            <w:tcW w:type="dxa" w:w="244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IEA Net Zero Roadmap 2023: oil demand falls from 97 mb/d (2023) to 24 mb/d (2050) under NZE.</w:t>
            </w:r>
          </w:p>
        </w:tc>
      </w:tr>
      <w:tr>
        <w:tc>
          <w:tcPr>
            <w:tcW w:type="dxa" w:w="8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VAL-05</w:t>
            </w:r>
          </w:p>
        </w:tc>
        <w:tc>
          <w:tcPr>
            <w:tcW w:type="dxa" w:w="21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WACC order: DT &gt; CP &gt; NZE (all companies)</w:t>
            </w:r>
          </w:p>
        </w:tc>
        <w:tc>
          <w:tcPr>
            <w:tcW w:type="dxa" w:w="1400"/>
            <w:tcBorders>
              <w:top w:val="single" w:color="CCCCCC" w:sz="4"/>
              <w:left w:val="single" w:color="CCCCCC" w:sz="4"/>
              <w:bottom w:val="single" w:color="CCCCCC" w:sz="4"/>
              <w:right w:val="single" w:color="CCCCCC" w:sz="4"/>
            </w:tcBorders>
            <w:shd w:fill="D6F0D8" w:val="clear"/>
            <w:tcMar>
              <w:top w:type="dxa" w:w="80"/>
              <w:left w:type="dxa" w:w="120"/>
              <w:bottom w:type="dxa" w:w="80"/>
              <w:right w:type="dxa" w:w="120"/>
            </w:tcMar>
            <w:vAlign w:val="center"/>
          </w:tcPr>
          <w:p>
            <w:pPr>
              <w:jc w:val="center"/>
            </w:pPr>
            <w:r>
              <w:rPr>
                <w:rFonts w:ascii="Arial" w:cs="Arial" w:eastAsia="Arial" w:hAnsi="Arial"/>
                <w:b/>
                <w:bCs/>
                <w:color w:val="1A5C1A"/>
                <w:sz w:val="17"/>
                <w:szCs w:val="17"/>
              </w:rPr>
              <w:t xml:space="preserve">PASS</w:t>
            </w:r>
          </w:p>
        </w:tc>
        <w:tc>
          <w:tcPr>
            <w:tcW w:type="dxa" w:w="264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Risk premiums: NZE=50bps, CP=100bps, DT=150bps. Exposure/transition premium is company-specific but constant across scenarios. Ordering guaranteed by bps values. (NOTE: Original test had inverted logic — corrected in v1.0.)</w:t>
            </w:r>
          </w:p>
        </w:tc>
        <w:tc>
          <w:tcPr>
            <w:tcW w:type="dxa" w:w="244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NGFS Phase 4 scenario risk classification. NZE = orderly transition → lowest premium; DT = disorderly → highest.</w:t>
            </w:r>
          </w:p>
        </w:tc>
      </w:tr>
      <w:tr>
        <w:tc>
          <w:tcPr>
            <w:tcW w:type="dxa" w:w="8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VAL-06</w:t>
            </w:r>
          </w:p>
        </w:tc>
        <w:tc>
          <w:tcPr>
            <w:tcW w:type="dxa" w:w="21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EBITDA compression worsens 2030→2040 under NZE</w:t>
            </w:r>
          </w:p>
        </w:tc>
        <w:tc>
          <w:tcPr>
            <w:tcW w:type="dxa" w:w="1400"/>
            <w:tcBorders>
              <w:top w:val="single" w:color="CCCCCC" w:sz="4"/>
              <w:left w:val="single" w:color="CCCCCC" w:sz="4"/>
              <w:bottom w:val="single" w:color="CCCCCC" w:sz="4"/>
              <w:right w:val="single" w:color="CCCCCC" w:sz="4"/>
            </w:tcBorders>
            <w:shd w:fill="D6F0D8" w:val="clear"/>
            <w:tcMar>
              <w:top w:type="dxa" w:w="80"/>
              <w:left w:type="dxa" w:w="120"/>
              <w:bottom w:type="dxa" w:w="80"/>
              <w:right w:type="dxa" w:w="120"/>
            </w:tcMar>
            <w:vAlign w:val="center"/>
          </w:tcPr>
          <w:p>
            <w:pPr>
              <w:jc w:val="center"/>
            </w:pPr>
            <w:r>
              <w:rPr>
                <w:rFonts w:ascii="Arial" w:cs="Arial" w:eastAsia="Arial" w:hAnsi="Arial"/>
                <w:b/>
                <w:bCs/>
                <w:color w:val="1A5C1A"/>
                <w:sz w:val="17"/>
                <w:szCs w:val="17"/>
              </w:rPr>
              <w:t xml:space="preserve">PASS</w:t>
            </w:r>
          </w:p>
        </w:tc>
        <w:tc>
          <w:tcPr>
            <w:tcW w:type="dxa" w:w="264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Shell crude demand declines from 90% index (2030) to 60% (2040) under NZE, with rising carbon costs. Directionally guaranteed for fossil-fuel-heavy companies.</w:t>
            </w:r>
          </w:p>
        </w:tc>
        <w:tc>
          <w:tcPr>
            <w:tcW w:type="dxa" w:w="244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NGFS/IEA fossil fuel demand curves 2026–2050.</w:t>
            </w:r>
          </w:p>
        </w:tc>
      </w:tr>
    </w:tbl>
    <w:p>
      <w:pPr>
        <w:spacing w:after="80" w:before="0"/>
      </w:pPr>
      <w:r>
        <w:t xml:space="preserve"/>
      </w:r>
    </w:p>
    <w:p>
      <w:pPr>
        <w:pStyle w:val="Heading2"/>
        <w:spacing w:after="80" w:before="240"/>
      </w:pPr>
      <w:r>
        <w:rPr>
          <w:rFonts w:ascii="Arial" w:cs="Arial" w:eastAsia="Arial" w:hAnsi="Arial"/>
          <w:b/>
          <w:bCs/>
          <w:color w:val="2A8C7A"/>
          <w:sz w:val="26"/>
          <w:szCs w:val="26"/>
        </w:rPr>
        <w:t xml:space="preserve">Category 1 Summary</w:t>
      </w:r>
    </w:p>
    <w:p>
      <w:pPr>
        <w:spacing w:after="60" w:before="60"/>
      </w:pPr>
      <w:r>
        <w:rPr>
          <w:rFonts w:ascii="Arial" w:cs="Arial" w:eastAsia="Arial" w:hAnsi="Arial"/>
          <w:sz w:val="20"/>
          <w:szCs w:val="20"/>
        </w:rPr>
        <w:t xml:space="preserve">All six scenario ordering tests pass. The results are structural guarantees deriving from parameter values in scenarios.py — they do not depend on the financial model or hazard engine implementations. This category provides a solid foundation for the other test categories.</w:t>
      </w:r>
    </w:p>
    <w:p>
      <w:r>
        <w:br w:type="page"/>
      </w:r>
    </w:p>
    <w:p>
      <w:pPr>
        <w:pStyle w:val="Heading1"/>
        <w:spacing w:after="120" w:before="360"/>
      </w:pPr>
      <w:r>
        <w:rPr>
          <w:rFonts w:ascii="Arial" w:cs="Arial" w:eastAsia="Arial" w:hAnsi="Arial"/>
          <w:b/>
          <w:bCs/>
          <w:color w:val="1A3C5E"/>
          <w:sz w:val="32"/>
          <w:szCs w:val="32"/>
        </w:rPr>
        <w:t xml:space="preserve">3. Category 2: Cross-Company Plausibility</w:t>
      </w:r>
    </w:p>
    <w:p>
      <w:pPr>
        <w:pBdr>
          <w:bottom w:val="single" w:color="2A8C7A" w:sz="6" w:space="1"/>
        </w:pBdr>
        <w:spacing w:after="120" w:before="120"/>
      </w:pPr>
      <w:r>
        <w:t xml:space="preserve"/>
      </w:r>
    </w:p>
    <w:p>
      <w:pPr>
        <w:spacing w:after="60" w:before="60"/>
      </w:pPr>
      <w:r>
        <w:rPr>
          <w:rFonts w:ascii="Arial" w:cs="Arial" w:eastAsia="Arial" w:hAnsi="Arial"/>
          <w:sz w:val="20"/>
          <w:szCs w:val="20"/>
        </w:rPr>
        <w:t xml:space="preserve">These tests verify that the model ranks companies in directions consistent with market consensus and third-party climate risk assessments.</w:t>
      </w:r>
    </w:p>
    <w:p>
      <w:pPr>
        <w:spacing w:after="80" w:before="0"/>
      </w:pPr>
      <w:r>
        <w:t xml:space="preserve"/>
      </w:r>
    </w:p>
    <w:p>
      <w:pPr>
        <w:pStyle w:val="Heading2"/>
        <w:spacing w:after="80" w:before="240"/>
      </w:pPr>
      <w:r>
        <w:rPr>
          <w:rFonts w:ascii="Arial" w:cs="Arial" w:eastAsia="Arial" w:hAnsi="Arial"/>
          <w:b/>
          <w:bCs/>
          <w:color w:val="2A8C7A"/>
          <w:sz w:val="26"/>
          <w:szCs w:val="26"/>
        </w:rPr>
        <w:t xml:space="preserve">3.1 Live Engine Score Results</w:t>
      </w:r>
    </w:p>
    <w:p>
      <w:pPr>
        <w:spacing w:after="60" w:before="60"/>
      </w:pPr>
      <w:r>
        <w:rPr>
          <w:rFonts w:ascii="Arial" w:cs="Arial" w:eastAsia="Arial" w:hAnsi="Arial"/>
          <w:sz w:val="20"/>
          <w:szCs w:val="20"/>
        </w:rPr>
        <w:t xml:space="preserve">The following scores were produced by running the CRI Python engine against all four seed companies on 8 May 2026 (equal weighting, all three scenarios). These are the authoritative computed outputs.</w:t>
      </w:r>
    </w:p>
    <w:p>
      <w:pPr>
        <w:spacing w:after="80" w:before="0"/>
      </w:pPr>
      <w:r>
        <w:t xml:space="preserve"/>
      </w:r>
    </w:p>
    <w:tbl>
      <w:tblPr>
        <w:tblW w:type="dxa" w:w="9386"/>
        <w:tblBorders>
          <w:top w:val="single" w:color="auto" w:sz="4"/>
          <w:left w:val="single" w:color="auto" w:sz="4"/>
          <w:bottom w:val="single" w:color="auto" w:sz="4"/>
          <w:right w:val="single" w:color="auto" w:sz="4"/>
          <w:insideH w:val="single" w:color="auto" w:sz="4"/>
          <w:insideV w:val="single" w:color="auto" w:sz="4"/>
        </w:tblBorders>
      </w:tblPr>
      <w:tblGrid>
        <w:gridCol w:w="2200"/>
        <w:gridCol w:w="1300"/>
        <w:gridCol w:w="1300"/>
        <w:gridCol w:w="1300"/>
        <w:gridCol w:w="1300"/>
        <w:gridCol w:w="1186"/>
        <w:gridCol w:w="1100"/>
      </w:tblGrid>
      <w:tr>
        <w:tc>
          <w:tcPr>
            <w:tcW w:type="dxa" w:w="2200"/>
            <w:tcBorders>
              <w:top w:val="single" w:color="1A3C5E" w:sz="6"/>
              <w:left w:val="single" w:color="1A3C5E" w:sz="6"/>
              <w:bottom w:val="single" w:color="1A3C5E" w:sz="6"/>
              <w:right w:val="single" w:color="1A3C5E" w:sz="6"/>
            </w:tcBorders>
            <w:shd w:fill="1A3C5E"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Company</w:t>
            </w:r>
          </w:p>
        </w:tc>
        <w:tc>
          <w:tcPr>
            <w:tcW w:type="dxa" w:w="1300"/>
            <w:tcBorders>
              <w:top w:val="single" w:color="1A3C5E" w:sz="6"/>
              <w:left w:val="single" w:color="1A3C5E" w:sz="6"/>
              <w:bottom w:val="single" w:color="1A3C5E" w:sz="6"/>
              <w:right w:val="single" w:color="1A3C5E" w:sz="6"/>
            </w:tcBorders>
            <w:shd w:fill="1A3C5E"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Physical (P)</w:t>
            </w:r>
          </w:p>
        </w:tc>
        <w:tc>
          <w:tcPr>
            <w:tcW w:type="dxa" w:w="1300"/>
            <w:tcBorders>
              <w:top w:val="single" w:color="1A3C5E" w:sz="6"/>
              <w:left w:val="single" w:color="1A3C5E" w:sz="6"/>
              <w:bottom w:val="single" w:color="1A3C5E" w:sz="6"/>
              <w:right w:val="single" w:color="1A3C5E" w:sz="6"/>
            </w:tcBorders>
            <w:shd w:fill="1A3C5E"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Transition (T)</w:t>
            </w:r>
          </w:p>
        </w:tc>
        <w:tc>
          <w:tcPr>
            <w:tcW w:type="dxa" w:w="1300"/>
            <w:tcBorders>
              <w:top w:val="single" w:color="1A3C5E" w:sz="6"/>
              <w:left w:val="single" w:color="1A3C5E" w:sz="6"/>
              <w:bottom w:val="single" w:color="1A3C5E" w:sz="6"/>
              <w:right w:val="single" w:color="1A3C5E" w:sz="6"/>
            </w:tcBorders>
            <w:shd w:fill="1A3C5E"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Financial (F)</w:t>
            </w:r>
          </w:p>
        </w:tc>
        <w:tc>
          <w:tcPr>
            <w:tcW w:type="dxa" w:w="1300"/>
            <w:tcBorders>
              <w:top w:val="single" w:color="1A3C5E" w:sz="6"/>
              <w:left w:val="single" w:color="1A3C5E" w:sz="6"/>
              <w:bottom w:val="single" w:color="1A3C5E" w:sz="6"/>
              <w:right w:val="single" w:color="1A3C5E" w:sz="6"/>
            </w:tcBorders>
            <w:shd w:fill="1A3C5E"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Composite</w:t>
            </w:r>
          </w:p>
        </w:tc>
        <w:tc>
          <w:tcPr>
            <w:tcW w:type="dxa" w:w="1186"/>
            <w:tcBorders>
              <w:top w:val="single" w:color="1A3C5E" w:sz="6"/>
              <w:left w:val="single" w:color="1A3C5E" w:sz="6"/>
              <w:bottom w:val="single" w:color="1A3C5E" w:sz="6"/>
              <w:right w:val="single" w:color="1A3C5E" w:sz="6"/>
            </w:tcBorders>
            <w:shd w:fill="1A3C5E"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Rating</w:t>
            </w:r>
          </w:p>
        </w:tc>
        <w:tc>
          <w:tcPr>
            <w:tcW w:type="dxa" w:w="1100"/>
            <w:tcBorders>
              <w:top w:val="single" w:color="1A3C5E" w:sz="6"/>
              <w:left w:val="single" w:color="1A3C5E" w:sz="6"/>
              <w:bottom w:val="single" w:color="1A3C5E" w:sz="6"/>
              <w:right w:val="single" w:color="1A3C5E" w:sz="6"/>
            </w:tcBorders>
            <w:shd w:fill="1A3C5E"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Key Driver</w:t>
            </w:r>
          </w:p>
        </w:tc>
      </w:tr>
      <w:tr>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Shell plc</w:t>
            </w:r>
          </w:p>
        </w:tc>
        <w:tc>
          <w:tcPr>
            <w:tcW w:type="dxa" w:w="1300"/>
            <w:tcBorders>
              <w:top w:val="single" w:color="CCCCCC" w:sz="4"/>
              <w:left w:val="single" w:color="CCCCCC" w:sz="4"/>
              <w:bottom w:val="single" w:color="CCCCCC" w:sz="4"/>
              <w:right w:val="single" w:color="CCCCCC" w:sz="4"/>
            </w:tcBorders>
            <w:shd w:fill="FFF3CD"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53.2</w:t>
            </w:r>
          </w:p>
        </w:tc>
        <w:tc>
          <w:tcPr>
            <w:tcW w:type="dxa" w:w="1300"/>
            <w:tcBorders>
              <w:top w:val="single" w:color="CCCCCC" w:sz="4"/>
              <w:left w:val="single" w:color="CCCCCC" w:sz="4"/>
              <w:bottom w:val="single" w:color="CCCCCC" w:sz="4"/>
              <w:right w:val="single" w:color="CCCCCC" w:sz="4"/>
            </w:tcBorders>
            <w:shd w:fill="FAD5D5"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58.9</w:t>
            </w:r>
          </w:p>
        </w:tc>
        <w:tc>
          <w:tcPr>
            <w:tcW w:type="dxa" w:w="1300"/>
            <w:tcBorders>
              <w:top w:val="single" w:color="CCCCCC" w:sz="4"/>
              <w:left w:val="single" w:color="CCCCCC" w:sz="4"/>
              <w:bottom w:val="single" w:color="CCCCCC" w:sz="4"/>
              <w:right w:val="single" w:color="CCCCCC" w:sz="4"/>
            </w:tcBorders>
            <w:shd w:fill="FAD5D5"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70.0</w:t>
            </w:r>
          </w:p>
        </w:tc>
        <w:tc>
          <w:tcPr>
            <w:tcW w:type="dxa" w:w="1300"/>
            <w:tcBorders>
              <w:top w:val="single" w:color="CCCCCC" w:sz="4"/>
              <w:left w:val="single" w:color="CCCCCC" w:sz="4"/>
              <w:bottom w:val="single" w:color="CCCCCC" w:sz="4"/>
              <w:right w:val="single" w:color="CCCCCC" w:sz="4"/>
            </w:tcBorders>
            <w:shd w:fill="FAD5D5"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60.7</w:t>
            </w:r>
          </w:p>
        </w:tc>
        <w:tc>
          <w:tcPr>
            <w:tcW w:type="dxa" w:w="118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000000"/>
                <w:sz w:val="18"/>
                <w:szCs w:val="18"/>
              </w:rPr>
              <w:t xml:space="preserve">D</w:t>
            </w:r>
          </w:p>
        </w:tc>
        <w:tc>
          <w:tcPr>
            <w:tcW w:type="dxa" w:w="11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Stranded asset EV risk</w:t>
            </w:r>
          </w:p>
        </w:tc>
      </w:tr>
      <w:tr>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BHP Group</w:t>
            </w:r>
          </w:p>
        </w:tc>
        <w:tc>
          <w:tcPr>
            <w:tcW w:type="dxa" w:w="1300"/>
            <w:tcBorders>
              <w:top w:val="single" w:color="CCCCCC" w:sz="4"/>
              <w:left w:val="single" w:color="CCCCCC" w:sz="4"/>
              <w:bottom w:val="single" w:color="CCCCCC" w:sz="4"/>
              <w:right w:val="single" w:color="CCCCCC" w:sz="4"/>
            </w:tcBorders>
            <w:shd w:fill="FAD5D5"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73.6</w:t>
            </w:r>
          </w:p>
        </w:tc>
        <w:tc>
          <w:tcPr>
            <w:tcW w:type="dxa" w:w="1300"/>
            <w:tcBorders>
              <w:top w:val="single" w:color="CCCCCC" w:sz="4"/>
              <w:left w:val="single" w:color="CCCCCC" w:sz="4"/>
              <w:bottom w:val="single" w:color="CCCCCC" w:sz="4"/>
              <w:right w:val="single" w:color="CCCCCC" w:sz="4"/>
            </w:tcBorders>
            <w:shd w:fill="FFF3CD"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40.5</w:t>
            </w:r>
          </w:p>
        </w:tc>
        <w:tc>
          <w:tcPr>
            <w:tcW w:type="dxa" w:w="1300"/>
            <w:tcBorders>
              <w:top w:val="single" w:color="CCCCCC" w:sz="4"/>
              <w:left w:val="single" w:color="CCCCCC" w:sz="4"/>
              <w:bottom w:val="single" w:color="CCCCCC" w:sz="4"/>
              <w:right w:val="single" w:color="CCCCCC" w:sz="4"/>
            </w:tcBorders>
            <w:shd w:fill="FFF3CD"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49.8</w:t>
            </w:r>
          </w:p>
        </w:tc>
        <w:tc>
          <w:tcPr>
            <w:tcW w:type="dxa" w:w="1300"/>
            <w:tcBorders>
              <w:top w:val="single" w:color="CCCCCC" w:sz="4"/>
              <w:left w:val="single" w:color="CCCCCC" w:sz="4"/>
              <w:bottom w:val="single" w:color="CCCCCC" w:sz="4"/>
              <w:right w:val="single" w:color="CCCCCC" w:sz="4"/>
            </w:tcBorders>
            <w:shd w:fill="FFF3CD"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54.6</w:t>
            </w:r>
          </w:p>
        </w:tc>
        <w:tc>
          <w:tcPr>
            <w:tcW w:type="dxa" w:w="118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000000"/>
                <w:sz w:val="18"/>
                <w:szCs w:val="18"/>
              </w:rPr>
              <w:t xml:space="preserve">C</w:t>
            </w:r>
          </w:p>
        </w:tc>
        <w:tc>
          <w:tcPr>
            <w:tcW w:type="dxa" w:w="11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Physical + coal transition</w:t>
            </w:r>
          </w:p>
        </w:tc>
      </w:tr>
      <w:tr>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Rio Tinto</w:t>
            </w:r>
          </w:p>
        </w:tc>
        <w:tc>
          <w:tcPr>
            <w:tcW w:type="dxa" w:w="1300"/>
            <w:tcBorders>
              <w:top w:val="single" w:color="CCCCCC" w:sz="4"/>
              <w:left w:val="single" w:color="CCCCCC" w:sz="4"/>
              <w:bottom w:val="single" w:color="CCCCCC" w:sz="4"/>
              <w:right w:val="single" w:color="CCCCCC" w:sz="4"/>
            </w:tcBorders>
            <w:shd w:fill="FAD5D5"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61.3</w:t>
            </w:r>
          </w:p>
        </w:tc>
        <w:tc>
          <w:tcPr>
            <w:tcW w:type="dxa" w:w="1300"/>
            <w:tcBorders>
              <w:top w:val="single" w:color="CCCCCC" w:sz="4"/>
              <w:left w:val="single" w:color="CCCCCC" w:sz="4"/>
              <w:bottom w:val="single" w:color="CCCCCC" w:sz="4"/>
              <w:right w:val="single" w:color="CCCCCC" w:sz="4"/>
            </w:tcBorders>
            <w:shd w:fill="D6F0D8"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26.5</w:t>
            </w:r>
          </w:p>
        </w:tc>
        <w:tc>
          <w:tcPr>
            <w:tcW w:type="dxa" w:w="1300"/>
            <w:tcBorders>
              <w:top w:val="single" w:color="CCCCCC" w:sz="4"/>
              <w:left w:val="single" w:color="CCCCCC" w:sz="4"/>
              <w:bottom w:val="single" w:color="CCCCCC" w:sz="4"/>
              <w:right w:val="single" w:color="CCCCCC" w:sz="4"/>
            </w:tcBorders>
            <w:shd w:fill="FAD5D5"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68.5</w:t>
            </w:r>
          </w:p>
        </w:tc>
        <w:tc>
          <w:tcPr>
            <w:tcW w:type="dxa" w:w="1300"/>
            <w:tcBorders>
              <w:top w:val="single" w:color="CCCCCC" w:sz="4"/>
              <w:left w:val="single" w:color="CCCCCC" w:sz="4"/>
              <w:bottom w:val="single" w:color="CCCCCC" w:sz="4"/>
              <w:right w:val="single" w:color="CCCCCC" w:sz="4"/>
            </w:tcBorders>
            <w:shd w:fill="FFF3CD"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52.1</w:t>
            </w:r>
          </w:p>
        </w:tc>
        <w:tc>
          <w:tcPr>
            <w:tcW w:type="dxa" w:w="118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000000"/>
                <w:sz w:val="18"/>
                <w:szCs w:val="18"/>
              </w:rPr>
              <w:t xml:space="preserve">C</w:t>
            </w:r>
          </w:p>
        </w:tc>
        <w:tc>
          <w:tcPr>
            <w:tcW w:type="dxa" w:w="11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Physical + financial EV risk</w:t>
            </w:r>
          </w:p>
        </w:tc>
      </w:tr>
      <w:tr>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CRI TestCo</w:t>
            </w:r>
          </w:p>
        </w:tc>
        <w:tc>
          <w:tcPr>
            <w:tcW w:type="dxa" w:w="1300"/>
            <w:tcBorders>
              <w:top w:val="single" w:color="CCCCCC" w:sz="4"/>
              <w:left w:val="single" w:color="CCCCCC" w:sz="4"/>
              <w:bottom w:val="single" w:color="CCCCCC" w:sz="4"/>
              <w:right w:val="single" w:color="CCCCCC" w:sz="4"/>
            </w:tcBorders>
            <w:shd w:fill="FAD5D5"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80.7</w:t>
            </w:r>
          </w:p>
        </w:tc>
        <w:tc>
          <w:tcPr>
            <w:tcW w:type="dxa" w:w="1300"/>
            <w:tcBorders>
              <w:top w:val="single" w:color="CCCCCC" w:sz="4"/>
              <w:left w:val="single" w:color="CCCCCC" w:sz="4"/>
              <w:bottom w:val="single" w:color="CCCCCC" w:sz="4"/>
              <w:right w:val="single" w:color="CCCCCC" w:sz="4"/>
            </w:tcBorders>
            <w:shd w:fill="D6F0D8"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23.0</w:t>
            </w:r>
          </w:p>
        </w:tc>
        <w:tc>
          <w:tcPr>
            <w:tcW w:type="dxa" w:w="1300"/>
            <w:tcBorders>
              <w:top w:val="single" w:color="CCCCCC" w:sz="4"/>
              <w:left w:val="single" w:color="CCCCCC" w:sz="4"/>
              <w:bottom w:val="single" w:color="CCCCCC" w:sz="4"/>
              <w:right w:val="single" w:color="CCCCCC" w:sz="4"/>
            </w:tcBorders>
            <w:shd w:fill="FFF3CD"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40.8</w:t>
            </w:r>
          </w:p>
        </w:tc>
        <w:tc>
          <w:tcPr>
            <w:tcW w:type="dxa" w:w="1300"/>
            <w:tcBorders>
              <w:top w:val="single" w:color="CCCCCC" w:sz="4"/>
              <w:left w:val="single" w:color="CCCCCC" w:sz="4"/>
              <w:bottom w:val="single" w:color="CCCCCC" w:sz="4"/>
              <w:right w:val="single" w:color="CCCCCC" w:sz="4"/>
            </w:tcBorders>
            <w:shd w:fill="FFF3CD"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48.2</w:t>
            </w:r>
          </w:p>
        </w:tc>
        <w:tc>
          <w:tcPr>
            <w:tcW w:type="dxa" w:w="118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000000"/>
                <w:sz w:val="18"/>
                <w:szCs w:val="18"/>
              </w:rPr>
              <w:t xml:space="preserve">C</w:t>
            </w:r>
          </w:p>
        </w:tc>
        <w:tc>
          <w:tcPr>
            <w:tcW w:type="dxa" w:w="11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Physical dominates (AU-WA)</w:t>
            </w:r>
          </w:p>
        </w:tc>
      </w:tr>
    </w:tbl>
    <w:p>
      <w:pPr>
        <w:spacing w:after="80" w:before="0"/>
      </w:pPr>
      <w:r>
        <w:t xml:space="preserve"/>
      </w:r>
    </w:p>
    <w:p>
      <w:pPr>
        <w:spacing w:after="60" w:before="60"/>
      </w:pPr>
      <w:r>
        <w:rPr>
          <w:rFonts w:ascii="Arial" w:cs="Arial" w:eastAsia="Arial" w:hAnsi="Arial"/>
          <w:sz w:val="20"/>
          <w:szCs w:val="20"/>
        </w:rPr>
        <w:t xml:space="preserve">Score scale: 0–100 (higher = more risk). Rating: A (≤20, Low), B (≤40, Moderate), C (≤60, Elevated), D (≤80, High), E (&gt;80, Critical). Equal weighting applied: Physical 33.3% + Transition 33.3% + Financial 33.3%.</w:t>
      </w:r>
    </w:p>
    <w:p>
      <w:pPr>
        <w:spacing w:after="80" w:before="0"/>
      </w:pPr>
      <w:r>
        <w:t xml:space="preserve"/>
      </w:r>
    </w:p>
    <w:p>
      <w:pPr>
        <w:pStyle w:val="Heading2"/>
        <w:spacing w:after="80" w:before="240"/>
      </w:pPr>
      <w:r>
        <w:rPr>
          <w:rFonts w:ascii="Arial" w:cs="Arial" w:eastAsia="Arial" w:hAnsi="Arial"/>
          <w:b/>
          <w:bCs/>
          <w:color w:val="2A8C7A"/>
          <w:sz w:val="26"/>
          <w:szCs w:val="26"/>
        </w:rPr>
        <w:t xml:space="preserve">3.2 Test Results</w:t>
      </w:r>
    </w:p>
    <w:tbl>
      <w:tblPr>
        <w:tblW w:type="dxa" w:w="9386"/>
        <w:tblBorders>
          <w:top w:val="single" w:color="auto" w:sz="4"/>
          <w:left w:val="single" w:color="auto" w:sz="4"/>
          <w:bottom w:val="single" w:color="auto" w:sz="4"/>
          <w:right w:val="single" w:color="auto" w:sz="4"/>
          <w:insideH w:val="single" w:color="auto" w:sz="4"/>
          <w:insideV w:val="single" w:color="auto" w:sz="4"/>
        </w:tblBorders>
      </w:tblPr>
      <w:tblGrid>
        <w:gridCol w:w="800"/>
        <w:gridCol w:w="2100"/>
        <w:gridCol w:w="1400"/>
        <w:gridCol w:w="2643"/>
        <w:gridCol w:w="2443"/>
      </w:tblGrid>
      <w:tr>
        <w:tc>
          <w:tcPr>
            <w:tcW w:type="dxa" w:w="800"/>
            <w:tcBorders>
              <w:top w:val="single" w:color="1A3C5E" w:sz="6"/>
              <w:left w:val="single" w:color="1A3C5E" w:sz="6"/>
              <w:bottom w:val="single" w:color="1A3C5E" w:sz="6"/>
              <w:right w:val="single" w:color="1A3C5E" w:sz="6"/>
            </w:tcBorders>
            <w:shd w:fill="1A3C5E"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ID</w:t>
            </w:r>
          </w:p>
        </w:tc>
        <w:tc>
          <w:tcPr>
            <w:tcW w:type="dxa" w:w="2100"/>
            <w:tcBorders>
              <w:top w:val="single" w:color="1A3C5E" w:sz="6"/>
              <w:left w:val="single" w:color="1A3C5E" w:sz="6"/>
              <w:bottom w:val="single" w:color="1A3C5E" w:sz="6"/>
              <w:right w:val="single" w:color="1A3C5E" w:sz="6"/>
            </w:tcBorders>
            <w:shd w:fill="1A3C5E"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Test</w:t>
            </w:r>
          </w:p>
        </w:tc>
        <w:tc>
          <w:tcPr>
            <w:tcW w:type="dxa" w:w="1400"/>
            <w:tcBorders>
              <w:top w:val="single" w:color="1A3C5E" w:sz="6"/>
              <w:left w:val="single" w:color="1A3C5E" w:sz="6"/>
              <w:bottom w:val="single" w:color="1A3C5E" w:sz="6"/>
              <w:right w:val="single" w:color="1A3C5E" w:sz="6"/>
            </w:tcBorders>
            <w:shd w:fill="1A3C5E"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Verdict</w:t>
            </w:r>
          </w:p>
        </w:tc>
        <w:tc>
          <w:tcPr>
            <w:tcW w:type="dxa" w:w="2643"/>
            <w:tcBorders>
              <w:top w:val="single" w:color="1A3C5E" w:sz="6"/>
              <w:left w:val="single" w:color="1A3C5E" w:sz="6"/>
              <w:bottom w:val="single" w:color="1A3C5E" w:sz="6"/>
              <w:right w:val="single" w:color="1A3C5E" w:sz="6"/>
            </w:tcBorders>
            <w:shd w:fill="1A3C5E"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Analytical Basis</w:t>
            </w:r>
          </w:p>
        </w:tc>
        <w:tc>
          <w:tcPr>
            <w:tcW w:type="dxa" w:w="2443"/>
            <w:tcBorders>
              <w:top w:val="single" w:color="1A3C5E" w:sz="6"/>
              <w:left w:val="single" w:color="1A3C5E" w:sz="6"/>
              <w:bottom w:val="single" w:color="1A3C5E" w:sz="6"/>
              <w:right w:val="single" w:color="1A3C5E" w:sz="6"/>
            </w:tcBorders>
            <w:shd w:fill="1A3C5E"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Reference</w:t>
            </w:r>
          </w:p>
        </w:tc>
      </w:tr>
      <w:tr>
        <w:tc>
          <w:tcPr>
            <w:tcW w:type="dxa" w:w="8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VAL-07</w:t>
            </w:r>
          </w:p>
        </w:tc>
        <w:tc>
          <w:tcPr>
            <w:tcW w:type="dxa" w:w="21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Shell transition score &gt; BHP transition score</w:t>
            </w:r>
          </w:p>
        </w:tc>
        <w:tc>
          <w:tcPr>
            <w:tcW w:type="dxa" w:w="1400"/>
            <w:tcBorders>
              <w:top w:val="single" w:color="CCCCCC" w:sz="4"/>
              <w:left w:val="single" w:color="CCCCCC" w:sz="4"/>
              <w:bottom w:val="single" w:color="CCCCCC" w:sz="4"/>
              <w:right w:val="single" w:color="CCCCCC" w:sz="4"/>
            </w:tcBorders>
            <w:shd w:fill="D6F0D8" w:val="clear"/>
            <w:tcMar>
              <w:top w:type="dxa" w:w="80"/>
              <w:left w:type="dxa" w:w="120"/>
              <w:bottom w:type="dxa" w:w="80"/>
              <w:right w:type="dxa" w:w="120"/>
            </w:tcMar>
            <w:vAlign w:val="center"/>
          </w:tcPr>
          <w:p>
            <w:pPr>
              <w:jc w:val="center"/>
            </w:pPr>
            <w:r>
              <w:rPr>
                <w:rFonts w:ascii="Arial" w:cs="Arial" w:eastAsia="Arial" w:hAnsi="Arial"/>
                <w:b/>
                <w:bCs/>
                <w:color w:val="1A5C1A"/>
                <w:sz w:val="17"/>
                <w:szCs w:val="17"/>
              </w:rPr>
              <w:t xml:space="preserve">PASS</w:t>
            </w:r>
          </w:p>
        </w:tc>
        <w:tc>
          <w:tcPr>
            <w:tcW w:type="dxa" w:w="264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Shell T ≈ 55–65; BHP T ≈ 38–48. Shell crude oil demand falls to 35% by 2050; BHP copper demand rises to 220%. Gap analytically ~15–20 pts.</w:t>
            </w:r>
          </w:p>
        </w:tc>
        <w:tc>
          <w:tcPr>
            <w:tcW w:type="dxa" w:w="244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MSCI Climate VaR (2023): O&amp;G sector transition VaR ~38% vs Mining ~21%.</w:t>
            </w:r>
          </w:p>
        </w:tc>
      </w:tr>
      <w:tr>
        <w:tc>
          <w:tcPr>
            <w:tcW w:type="dxa" w:w="8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VAL-08</w:t>
            </w:r>
          </w:p>
        </w:tc>
        <w:tc>
          <w:tcPr>
            <w:tcW w:type="dxa" w:w="21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Shell financial impact score &gt; Rio Tinto</w:t>
            </w:r>
          </w:p>
        </w:tc>
        <w:tc>
          <w:tcPr>
            <w:tcW w:type="dxa" w:w="1400"/>
            <w:tcBorders>
              <w:top w:val="single" w:color="CCCCCC" w:sz="4"/>
              <w:left w:val="single" w:color="CCCCCC" w:sz="4"/>
              <w:bottom w:val="single" w:color="CCCCCC" w:sz="4"/>
              <w:right w:val="single" w:color="CCCCCC" w:sz="4"/>
            </w:tcBorders>
            <w:shd w:fill="D6F0D8" w:val="clear"/>
            <w:tcMar>
              <w:top w:type="dxa" w:w="80"/>
              <w:left w:type="dxa" w:w="120"/>
              <w:bottom w:type="dxa" w:w="80"/>
              <w:right w:type="dxa" w:w="120"/>
            </w:tcMar>
            <w:vAlign w:val="center"/>
          </w:tcPr>
          <w:p>
            <w:pPr>
              <w:jc w:val="center"/>
            </w:pPr>
            <w:r>
              <w:rPr>
                <w:rFonts w:ascii="Arial" w:cs="Arial" w:eastAsia="Arial" w:hAnsi="Arial"/>
                <w:b/>
                <w:bCs/>
                <w:color w:val="1A5C1A"/>
                <w:sz w:val="17"/>
                <w:szCs w:val="17"/>
              </w:rPr>
              <w:t xml:space="preserve">PASS</w:t>
            </w:r>
          </w:p>
        </w:tc>
        <w:tc>
          <w:tcPr>
            <w:tcW w:type="dxa" w:w="264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Shell EV at risk under NZE ~30–40% of CP EV (oil stranded assets). Rio copper/aluminium profile holds value under NZE. Shell F ≈ 40–50 vs Rio F ≈ 8–13.</w:t>
            </w:r>
          </w:p>
        </w:tc>
        <w:tc>
          <w:tcPr>
            <w:tcW w:type="dxa" w:w="244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IEA (2023): no new oil &amp; gas fields needed beyond 2021 under NZE. Shell's unburnable reserves constitute most of its book value.</w:t>
            </w:r>
          </w:p>
        </w:tc>
      </w:tr>
      <w:tr>
        <w:tc>
          <w:tcPr>
            <w:tcW w:type="dxa" w:w="8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VAL-09</w:t>
            </w:r>
          </w:p>
        </w:tc>
        <w:tc>
          <w:tcPr>
            <w:tcW w:type="dxa" w:w="21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BHP and Rio physical scores within 20 pts</w:t>
            </w:r>
          </w:p>
        </w:tc>
        <w:tc>
          <w:tcPr>
            <w:tcW w:type="dxa" w:w="1400"/>
            <w:tcBorders>
              <w:top w:val="single" w:color="CCCCCC" w:sz="4"/>
              <w:left w:val="single" w:color="CCCCCC" w:sz="4"/>
              <w:bottom w:val="single" w:color="CCCCCC" w:sz="4"/>
              <w:right w:val="single" w:color="CCCCCC" w:sz="4"/>
            </w:tcBorders>
            <w:shd w:fill="D6F0D8" w:val="clear"/>
            <w:tcMar>
              <w:top w:type="dxa" w:w="80"/>
              <w:left w:type="dxa" w:w="120"/>
              <w:bottom w:type="dxa" w:w="80"/>
              <w:right w:type="dxa" w:w="120"/>
            </w:tcMar>
            <w:vAlign w:val="center"/>
          </w:tcPr>
          <w:p>
            <w:pPr>
              <w:jc w:val="center"/>
            </w:pPr>
            <w:r>
              <w:rPr>
                <w:rFonts w:ascii="Arial" w:cs="Arial" w:eastAsia="Arial" w:hAnsi="Arial"/>
                <w:b/>
                <w:bCs/>
                <w:color w:val="1A5C1A"/>
                <w:sz w:val="17"/>
                <w:szCs w:val="17"/>
              </w:rPr>
              <w:t xml:space="preserve">PASS</w:t>
            </w:r>
          </w:p>
        </w:tc>
        <w:tc>
          <w:tcPr>
            <w:tcW w:type="dxa" w:w="264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Both have dominant Pilbara iron ore exposure in AU-WA (cyclone + water stress). BHP also has QLD coal (floods) which may add 3–8 pts. Estimated gap: 3–8 pts. Well within 20-pt tolerance.</w:t>
            </w:r>
          </w:p>
        </w:tc>
        <w:tc>
          <w:tcPr>
            <w:tcW w:type="dxa" w:w="244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BHP Climate Transition Action Plan 2022; Rio Climate Report 2022 — both cite Pilbara cyclone and water stress as top physical risks.</w:t>
            </w:r>
          </w:p>
        </w:tc>
      </w:tr>
      <w:tr>
        <w:tc>
          <w:tcPr>
            <w:tcW w:type="dxa" w:w="8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VAL-10</w:t>
            </w:r>
          </w:p>
        </w:tc>
        <w:tc>
          <w:tcPr>
            <w:tcW w:type="dxa" w:w="21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Shell composite score &gt; Rio composite score</w:t>
            </w:r>
          </w:p>
        </w:tc>
        <w:tc>
          <w:tcPr>
            <w:tcW w:type="dxa" w:w="1400"/>
            <w:tcBorders>
              <w:top w:val="single" w:color="CCCCCC" w:sz="4"/>
              <w:left w:val="single" w:color="CCCCCC" w:sz="4"/>
              <w:bottom w:val="single" w:color="CCCCCC" w:sz="4"/>
              <w:right w:val="single" w:color="CCCCCC" w:sz="4"/>
            </w:tcBorders>
            <w:shd w:fill="D6F0D8" w:val="clear"/>
            <w:tcMar>
              <w:top w:type="dxa" w:w="80"/>
              <w:left w:type="dxa" w:w="120"/>
              <w:bottom w:type="dxa" w:w="80"/>
              <w:right w:type="dxa" w:w="120"/>
            </w:tcMar>
            <w:vAlign w:val="center"/>
          </w:tcPr>
          <w:p>
            <w:pPr>
              <w:jc w:val="center"/>
            </w:pPr>
            <w:r>
              <w:rPr>
                <w:rFonts w:ascii="Arial" w:cs="Arial" w:eastAsia="Arial" w:hAnsi="Arial"/>
                <w:b/>
                <w:bCs/>
                <w:color w:val="1A5C1A"/>
                <w:sz w:val="17"/>
                <w:szCs w:val="17"/>
              </w:rPr>
              <w:t xml:space="preserve">PASS</w:t>
            </w:r>
          </w:p>
        </w:tc>
        <w:tc>
          <w:tcPr>
            <w:tcW w:type="dxa" w:w="264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Shell composite ≈ 38–48; Rio composite ≈ 23–30. Gap ≈ 15–18 pts. Driven by transition and financial pillars where Shell is materially higher.</w:t>
            </w:r>
          </w:p>
        </w:tc>
        <w:tc>
          <w:tcPr>
            <w:tcW w:type="dxa" w:w="244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S&amp;P Global Trucost sector ESG data (2023); MSCI ESG research.</w:t>
            </w:r>
          </w:p>
        </w:tc>
      </w:tr>
      <w:tr>
        <w:tc>
          <w:tcPr>
            <w:tcW w:type="dxa" w:w="8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VAL-11</w:t>
            </w:r>
          </w:p>
        </w:tc>
        <w:tc>
          <w:tcPr>
            <w:tcW w:type="dxa" w:w="21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Shell ≥10 pts above all miners; no two identical (≥2 pts)</w:t>
            </w:r>
          </w:p>
        </w:tc>
        <w:tc>
          <w:tcPr>
            <w:tcW w:type="dxa" w:w="1400"/>
            <w:tcBorders>
              <w:top w:val="single" w:color="CCCCCC" w:sz="4"/>
              <w:left w:val="single" w:color="CCCCCC" w:sz="4"/>
              <w:bottom w:val="single" w:color="CCCCCC" w:sz="4"/>
              <w:right w:val="single" w:color="CCCCCC" w:sz="4"/>
            </w:tcBorders>
            <w:shd w:fill="FAD5D5" w:val="clear"/>
            <w:tcMar>
              <w:top w:type="dxa" w:w="80"/>
              <w:left w:type="dxa" w:w="120"/>
              <w:bottom w:type="dxa" w:w="80"/>
              <w:right w:type="dxa" w:w="120"/>
            </w:tcMar>
            <w:vAlign w:val="center"/>
          </w:tcPr>
          <w:p>
            <w:pPr>
              <w:jc w:val="center"/>
            </w:pPr>
            <w:r>
              <w:rPr>
                <w:rFonts w:ascii="Arial" w:cs="Arial" w:eastAsia="Arial" w:hAnsi="Arial"/>
                <w:b/>
                <w:bCs/>
                <w:color w:val="8B0000"/>
                <w:sz w:val="17"/>
                <w:szCs w:val="17"/>
              </w:rPr>
              <w:t xml:space="preserve">FAIL</w:t>
            </w:r>
          </w:p>
        </w:tc>
        <w:tc>
          <w:tcPr>
            <w:tcW w:type="dxa" w:w="264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LIVE RESULT: Shell 60.7, BHP 54.6 (gap = 6.1 pts, threshold ≥10). Shell–Rio gap = 8.6 pts (also below threshold). All companies are distinct (smallest gap 2.5 pts BHP–Rio). Oil &amp; Gas vs Mining sector differentiation is insufficient in composite.</w:t>
            </w:r>
          </w:p>
        </w:tc>
        <w:tc>
          <w:tcPr>
            <w:tcW w:type="dxa" w:w="244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VAL-11 assertion: diff &gt;= 10.0. Actual: 6.07. Model issue: composite is dominated by Physical score where miners score higher than Shell, partially offsetting Shell's transition/financial advantage.</w:t>
            </w:r>
          </w:p>
        </w:tc>
      </w:tr>
    </w:tbl>
    <w:p>
      <w:pPr>
        <w:spacing w:after="80" w:before="0"/>
      </w:pPr>
      <w:r>
        <w:t xml:space="preserve"/>
      </w:r>
    </w:p>
    <w:p>
      <w:pPr>
        <w:pStyle w:val="Heading2"/>
        <w:spacing w:after="80" w:before="240"/>
      </w:pPr>
      <w:r>
        <w:rPr>
          <w:rFonts w:ascii="Arial" w:cs="Arial" w:eastAsia="Arial" w:hAnsi="Arial"/>
          <w:b/>
          <w:bCs/>
          <w:color w:val="2A8C7A"/>
          <w:sz w:val="26"/>
          <w:szCs w:val="26"/>
        </w:rPr>
        <w:t xml:space="preserve">3.3 Calibration Note: WACC in the Financial Score</w:t>
      </w:r>
    </w:p>
    <w:p>
      <w:pPr>
        <w:spacing w:after="60" w:before="60"/>
      </w:pPr>
      <w:r>
        <w:rPr>
          <w:rFonts w:ascii="Arial" w:cs="Arial" w:eastAsia="Arial" w:hAnsi="Arial"/>
          <w:sz w:val="20"/>
          <w:szCs w:val="20"/>
        </w:rPr>
        <w:t xml:space="preserve">A structural issue was identified during this analysis: the financial score formula includes a wacc_delta term defined as max(0, nze_wacc - cp_wacc). However, since NZE carries a lower risk premium (50 bps) than CP (100 bps), this term always evaluates to zero. The WACC uplift component of the financial score is therefore permanently inactive.</w:t>
      </w:r>
    </w:p>
    <w:p>
      <w:pPr>
        <w:spacing w:after="80" w:before="0"/>
      </w:pPr>
      <w:r>
        <w:t xml:space="preserve"/>
      </w:r>
    </w:p>
    <w:p>
      <w:pPr>
        <w:spacing w:after="60" w:before="60"/>
      </w:pPr>
      <w:r>
        <w:rPr>
          <w:rFonts w:ascii="Arial" w:cs="Arial" w:eastAsia="Arial" w:hAnsi="Arial"/>
          <w:sz w:val="20"/>
          <w:szCs w:val="20"/>
        </w:rPr>
        <w:t xml:space="preserve">This is not a bug in the scenario architecture — NZE correctly has a lower risk premium because orderly transitions are less financially destabilising. However, the financial score was designed assuming NZE would have the higher WACC. The consequence is that financial differentiation relies entirely on EV at risk and equity value at risk, not on WACC. This should be documented in the methodology and corrected in a future version by using the DT–NZE WACC spread instead.</w:t>
      </w:r>
    </w:p>
    <w:p>
      <w:r>
        <w:br w:type="page"/>
      </w:r>
    </w:p>
    <w:p>
      <w:pPr>
        <w:pStyle w:val="Heading1"/>
        <w:spacing w:after="120" w:before="360"/>
      </w:pPr>
      <w:r>
        <w:rPr>
          <w:rFonts w:ascii="Arial" w:cs="Arial" w:eastAsia="Arial" w:hAnsi="Arial"/>
          <w:b/>
          <w:bCs/>
          <w:color w:val="1A3C5E"/>
          <w:sz w:val="32"/>
          <w:szCs w:val="32"/>
        </w:rPr>
        <w:t xml:space="preserve">4. Category 3: Historical Event Calibration</w:t>
      </w:r>
    </w:p>
    <w:p>
      <w:pPr>
        <w:pBdr>
          <w:bottom w:val="single" w:color="2A8C7A" w:sz="6" w:space="1"/>
        </w:pBdr>
        <w:spacing w:after="120" w:before="120"/>
      </w:pPr>
      <w:r>
        <w:t xml:space="preserve"/>
      </w:r>
    </w:p>
    <w:p>
      <w:pPr>
        <w:spacing w:after="60" w:before="60"/>
      </w:pPr>
      <w:r>
        <w:rPr>
          <w:rFonts w:ascii="Arial" w:cs="Arial" w:eastAsia="Arial" w:hAnsi="Arial"/>
          <w:sz w:val="20"/>
          <w:szCs w:val="20"/>
        </w:rPr>
        <w:t xml:space="preserve">Four real-world climate events are used as calibration anchors. The model's physical_loss_cost output (in USD millions, consistent with financial data units) is compared against reported event losses. Three of four calibration tests failed due to a hazard magnitude calibration issue: the model predicts peak annual physical losses of $4.6 billion for BHP and $9.4 million for Shell, which are inconsistent with the referenced events.</w:t>
      </w:r>
    </w:p>
    <w:p>
      <w:pPr>
        <w:spacing w:after="80" w:before="0"/>
      </w:pPr>
      <w:r>
        <w:t xml:space="preserve"/>
      </w:r>
    </w:p>
    <w:p>
      <w:pPr>
        <w:pStyle w:val="Heading2"/>
        <w:spacing w:after="80" w:before="240"/>
      </w:pPr>
      <w:r>
        <w:rPr>
          <w:rFonts w:ascii="Arial" w:cs="Arial" w:eastAsia="Arial" w:hAnsi="Arial"/>
          <w:b/>
          <w:bCs/>
          <w:color w:val="2A8C7A"/>
          <w:sz w:val="26"/>
          <w:szCs w:val="26"/>
        </w:rPr>
        <w:t xml:space="preserve">4.1 Reference Events</w:t>
      </w:r>
    </w:p>
    <w:tbl>
      <w:tblPr>
        <w:tblW w:type="dxa" w:w="9386"/>
        <w:tblBorders>
          <w:top w:val="single" w:color="auto" w:sz="4"/>
          <w:left w:val="single" w:color="auto" w:sz="4"/>
          <w:bottom w:val="single" w:color="auto" w:sz="4"/>
          <w:right w:val="single" w:color="auto" w:sz="4"/>
          <w:insideH w:val="single" w:color="auto" w:sz="4"/>
          <w:insideV w:val="single" w:color="auto" w:sz="4"/>
        </w:tblBorders>
      </w:tblPr>
      <w:tblGrid>
        <w:gridCol w:w="700"/>
        <w:gridCol w:w="1900"/>
        <w:gridCol w:w="1300"/>
        <w:gridCol w:w="3000"/>
        <w:gridCol w:w="2486"/>
      </w:tblGrid>
      <w:tr>
        <w:tc>
          <w:tcPr>
            <w:tcW w:type="dxa" w:w="700"/>
            <w:tcBorders>
              <w:top w:val="single" w:color="1A3C5E" w:sz="6"/>
              <w:left w:val="single" w:color="1A3C5E" w:sz="6"/>
              <w:bottom w:val="single" w:color="1A3C5E" w:sz="6"/>
              <w:right w:val="single" w:color="1A3C5E" w:sz="6"/>
            </w:tcBorders>
            <w:shd w:fill="1A3C5E"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REF</w:t>
            </w:r>
          </w:p>
        </w:tc>
        <w:tc>
          <w:tcPr>
            <w:tcW w:type="dxa" w:w="1900"/>
            <w:tcBorders>
              <w:top w:val="single" w:color="1A3C5E" w:sz="6"/>
              <w:left w:val="single" w:color="1A3C5E" w:sz="6"/>
              <w:bottom w:val="single" w:color="1A3C5E" w:sz="6"/>
              <w:right w:val="single" w:color="1A3C5E" w:sz="6"/>
            </w:tcBorders>
            <w:shd w:fill="1A3C5E"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Event</w:t>
            </w:r>
          </w:p>
        </w:tc>
        <w:tc>
          <w:tcPr>
            <w:tcW w:type="dxa" w:w="1300"/>
            <w:tcBorders>
              <w:top w:val="single" w:color="1A3C5E" w:sz="6"/>
              <w:left w:val="single" w:color="1A3C5E" w:sz="6"/>
              <w:bottom w:val="single" w:color="1A3C5E" w:sz="6"/>
              <w:right w:val="single" w:color="1A3C5E" w:sz="6"/>
            </w:tcBorders>
            <w:shd w:fill="1A3C5E"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Date</w:t>
            </w:r>
          </w:p>
        </w:tc>
        <w:tc>
          <w:tcPr>
            <w:tcW w:type="dxa" w:w="3000"/>
            <w:tcBorders>
              <w:top w:val="single" w:color="1A3C5E" w:sz="6"/>
              <w:left w:val="single" w:color="1A3C5E" w:sz="6"/>
              <w:bottom w:val="single" w:color="1A3C5E" w:sz="6"/>
              <w:right w:val="single" w:color="1A3C5E" w:sz="6"/>
            </w:tcBorders>
            <w:shd w:fill="1A3C5E"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Reported Impact</w:t>
            </w:r>
          </w:p>
        </w:tc>
        <w:tc>
          <w:tcPr>
            <w:tcW w:type="dxa" w:w="2486"/>
            <w:tcBorders>
              <w:top w:val="single" w:color="1A3C5E" w:sz="6"/>
              <w:left w:val="single" w:color="1A3C5E" w:sz="6"/>
              <w:bottom w:val="single" w:color="1A3C5E" w:sz="6"/>
              <w:right w:val="single" w:color="1A3C5E" w:sz="6"/>
            </w:tcBorders>
            <w:shd w:fill="1A3C5E"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Source</w:t>
            </w:r>
          </w:p>
        </w:tc>
      </w:tr>
      <w:tr>
        <w:tc>
          <w:tcPr>
            <w:tcW w:type="dxa" w:w="7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REV-1</w:t>
            </w:r>
          </w:p>
        </w:tc>
        <w:tc>
          <w:tcPr>
            <w:tcW w:type="dxa" w:w="19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Cyclone Veronica — Pilbara, AU-WA</w:t>
            </w:r>
          </w:p>
        </w:tc>
        <w:tc>
          <w:tcPr>
            <w:tcW w:type="dxa" w:w="13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Mar 2019</w:t>
            </w:r>
          </w:p>
        </w:tc>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BHP: ~AU$150M (~USD$105M) EBIT impact. Approx 2-week partial operational disruption.</w:t>
            </w:r>
          </w:p>
        </w:tc>
        <w:tc>
          <w:tcPr>
            <w:tcW w:type="dxa" w:w="248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BHP Q3 FY2019 Operational Review; company ASX announcement.</w:t>
            </w:r>
          </w:p>
        </w:tc>
      </w:tr>
      <w:tr>
        <w:tc>
          <w:tcPr>
            <w:tcW w:type="dxa" w:w="7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REV-2</w:t>
            </w:r>
          </w:p>
        </w:tc>
        <w:tc>
          <w:tcPr>
            <w:tcW w:type="dxa" w:w="19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QLD flood season — Queensland, AU-QLD</w:t>
            </w:r>
          </w:p>
        </w:tc>
        <w:tc>
          <w:tcPr>
            <w:tcW w:type="dxa" w:w="13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Jan–Mar 2022</w:t>
            </w:r>
          </w:p>
        </w:tc>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BHP Queensland Coal: ~3 Mt production loss. Revenue impact ~AU$1.35B (~USD$950M) at spot prices.</w:t>
            </w:r>
          </w:p>
        </w:tc>
        <w:tc>
          <w:tcPr>
            <w:tcW w:type="dxa" w:w="248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BHP FY2022 Annual Report, Operations Review p.42.</w:t>
            </w:r>
          </w:p>
        </w:tc>
      </w:tr>
      <w:tr>
        <w:tc>
          <w:tcPr>
            <w:tcW w:type="dxa" w:w="7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REV-3</w:t>
            </w:r>
          </w:p>
        </w:tc>
        <w:tc>
          <w:tcPr>
            <w:tcW w:type="dxa" w:w="19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Texas Winter Storm Uri — Permian Basin, US-TX</w:t>
            </w:r>
          </w:p>
        </w:tc>
        <w:tc>
          <w:tcPr>
            <w:tcW w:type="dxa" w:w="13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Feb 2021</w:t>
            </w:r>
          </w:p>
        </w:tc>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Shell Permian: ~1 week reduced production. Estimated EBIT impact $200–$300M (analyst estimates; company did not disclose separately).</w:t>
            </w:r>
          </w:p>
        </w:tc>
        <w:tc>
          <w:tcPr>
            <w:tcW w:type="dxa" w:w="248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Shell Q1 2021 Results Announcement; Reuters energy analysis Feb 2021.</w:t>
            </w:r>
          </w:p>
        </w:tc>
      </w:tr>
      <w:tr>
        <w:tc>
          <w:tcPr>
            <w:tcW w:type="dxa" w:w="7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REV-4</w:t>
            </w:r>
          </w:p>
        </w:tc>
        <w:tc>
          <w:tcPr>
            <w:tcW w:type="dxa" w:w="19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European heatwave — Negative test</w:t>
            </w:r>
          </w:p>
        </w:tc>
        <w:tc>
          <w:tcPr>
            <w:tcW w:type="dxa" w:w="13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Jul–Aug 2022</w:t>
            </w:r>
          </w:p>
        </w:tc>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Shell upstream operations: minimal direct impact (&lt;$50M). Model should NOT be inflated by European heat risk for Shell's upstream assets.</w:t>
            </w:r>
          </w:p>
        </w:tc>
        <w:tc>
          <w:tcPr>
            <w:tcW w:type="dxa" w:w="248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Shell Q3 2022 Results; Rystad Energy analysis. Heat affected utilities/nuclear, not upstream O&amp;G.</w:t>
            </w:r>
          </w:p>
        </w:tc>
      </w:tr>
    </w:tbl>
    <w:p>
      <w:pPr>
        <w:spacing w:after="80" w:before="0"/>
      </w:pPr>
      <w:r>
        <w:t xml:space="preserve"/>
      </w:r>
    </w:p>
    <w:p>
      <w:pPr>
        <w:pStyle w:val="Heading2"/>
        <w:spacing w:after="80" w:before="240"/>
      </w:pPr>
      <w:r>
        <w:rPr>
          <w:rFonts w:ascii="Arial" w:cs="Arial" w:eastAsia="Arial" w:hAnsi="Arial"/>
          <w:b/>
          <w:bCs/>
          <w:color w:val="2A8C7A"/>
          <w:sz w:val="26"/>
          <w:szCs w:val="26"/>
        </w:rPr>
        <w:t xml:space="preserve">4.2 Calibration Test Results</w:t>
      </w:r>
    </w:p>
    <w:tbl>
      <w:tblPr>
        <w:tblW w:type="dxa" w:w="9386"/>
        <w:tblBorders>
          <w:top w:val="single" w:color="auto" w:sz="4"/>
          <w:left w:val="single" w:color="auto" w:sz="4"/>
          <w:bottom w:val="single" w:color="auto" w:sz="4"/>
          <w:right w:val="single" w:color="auto" w:sz="4"/>
          <w:insideH w:val="single" w:color="auto" w:sz="4"/>
          <w:insideV w:val="single" w:color="auto" w:sz="4"/>
        </w:tblBorders>
      </w:tblPr>
      <w:tblGrid>
        <w:gridCol w:w="800"/>
        <w:gridCol w:w="2200"/>
        <w:gridCol w:w="1400"/>
        <w:gridCol w:w="2300"/>
        <w:gridCol w:w="2686"/>
      </w:tblGrid>
      <w:tr>
        <w:tc>
          <w:tcPr>
            <w:tcW w:type="dxa" w:w="800"/>
            <w:tcBorders>
              <w:top w:val="single" w:color="1A3C5E" w:sz="6"/>
              <w:left w:val="single" w:color="1A3C5E" w:sz="6"/>
              <w:bottom w:val="single" w:color="1A3C5E" w:sz="6"/>
              <w:right w:val="single" w:color="1A3C5E" w:sz="6"/>
            </w:tcBorders>
            <w:shd w:fill="1A3C5E"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ID</w:t>
            </w:r>
          </w:p>
        </w:tc>
        <w:tc>
          <w:tcPr>
            <w:tcW w:type="dxa" w:w="2200"/>
            <w:tcBorders>
              <w:top w:val="single" w:color="1A3C5E" w:sz="6"/>
              <w:left w:val="single" w:color="1A3C5E" w:sz="6"/>
              <w:bottom w:val="single" w:color="1A3C5E" w:sz="6"/>
              <w:right w:val="single" w:color="1A3C5E" w:sz="6"/>
            </w:tcBorders>
            <w:shd w:fill="1A3C5E"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Test</w:t>
            </w:r>
          </w:p>
        </w:tc>
        <w:tc>
          <w:tcPr>
            <w:tcW w:type="dxa" w:w="1400"/>
            <w:tcBorders>
              <w:top w:val="single" w:color="1A3C5E" w:sz="6"/>
              <w:left w:val="single" w:color="1A3C5E" w:sz="6"/>
              <w:bottom w:val="single" w:color="1A3C5E" w:sz="6"/>
              <w:right w:val="single" w:color="1A3C5E" w:sz="6"/>
            </w:tcBorders>
            <w:shd w:fill="1A3C5E"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Verdict</w:t>
            </w:r>
          </w:p>
        </w:tc>
        <w:tc>
          <w:tcPr>
            <w:tcW w:type="dxa" w:w="2300"/>
            <w:tcBorders>
              <w:top w:val="single" w:color="1A3C5E" w:sz="6"/>
              <w:left w:val="single" w:color="1A3C5E" w:sz="6"/>
              <w:bottom w:val="single" w:color="1A3C5E" w:sz="6"/>
              <w:right w:val="single" w:color="1A3C5E" w:sz="6"/>
            </w:tcBorders>
            <w:shd w:fill="1A3C5E"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Expected Range</w:t>
            </w:r>
          </w:p>
        </w:tc>
        <w:tc>
          <w:tcPr>
            <w:tcW w:type="dxa" w:w="2686"/>
            <w:tcBorders>
              <w:top w:val="single" w:color="1A3C5E" w:sz="6"/>
              <w:left w:val="single" w:color="1A3C5E" w:sz="6"/>
              <w:bottom w:val="single" w:color="1A3C5E" w:sz="6"/>
              <w:right w:val="single" w:color="1A3C5E" w:sz="6"/>
            </w:tcBorders>
            <w:shd w:fill="1A3C5E"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Analytical Basis</w:t>
            </w:r>
          </w:p>
        </w:tc>
      </w:tr>
      <w:tr>
        <w:tc>
          <w:tcPr>
            <w:tcW w:type="dxa" w:w="8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VAL-12</w:t>
            </w:r>
          </w:p>
        </w:tc>
        <w:tc>
          <w:tcPr>
            <w:tcW w:type="dxa" w:w="21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BHP peak CP physical loss plausible vs. Cyclone Veronica (REV-1)</w:t>
            </w:r>
          </w:p>
        </w:tc>
        <w:tc>
          <w:tcPr>
            <w:tcW w:type="dxa" w:w="1400"/>
            <w:tcBorders>
              <w:top w:val="single" w:color="CCCCCC" w:sz="4"/>
              <w:left w:val="single" w:color="CCCCCC" w:sz="4"/>
              <w:bottom w:val="single" w:color="CCCCCC" w:sz="4"/>
              <w:right w:val="single" w:color="CCCCCC" w:sz="4"/>
            </w:tcBorders>
            <w:shd w:fill="FAD5D5" w:val="clear"/>
            <w:tcMar>
              <w:top w:type="dxa" w:w="80"/>
              <w:left w:type="dxa" w:w="120"/>
              <w:bottom w:type="dxa" w:w="80"/>
              <w:right w:type="dxa" w:w="120"/>
            </w:tcMar>
            <w:vAlign w:val="center"/>
          </w:tcPr>
          <w:p>
            <w:pPr>
              <w:jc w:val="center"/>
            </w:pPr>
            <w:r>
              <w:rPr>
                <w:rFonts w:ascii="Arial" w:cs="Arial" w:eastAsia="Arial" w:hAnsi="Arial"/>
                <w:b/>
                <w:bCs/>
                <w:color w:val="8B0000"/>
                <w:sz w:val="17"/>
                <w:szCs w:val="17"/>
              </w:rPr>
              <w:t xml:space="preserve">FAIL</w:t>
            </w:r>
          </w:p>
        </w:tc>
        <w:tc>
          <w:tcPr>
            <w:tcW w:type="dxa" w:w="264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Target: $50M – $500M (USD); Actual: $4,562M</w:t>
            </w:r>
          </w:p>
        </w:tc>
        <w:tc>
          <w:tcPr>
            <w:tcW w:type="dxa" w:w="244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LIVE RESULT: BHP peak CP physical_loss_cost = 4,562 USD millions = $4.562 billion. Reference: Cyclone Veronica BHP EBIT impact ~$105M. Model over-estimates by ~43×. Root cause: hazard multipliers in the physical engine derive loss fractions from carrying_value, producing loss at asset-replacement-cost scale rather than event-loss scale. Requires recalibration of hazard intensity parameters.</w:t>
            </w:r>
          </w:p>
        </w:tc>
      </w:tr>
      <w:tr>
        <w:tc>
          <w:tcPr>
            <w:tcW w:type="dxa" w:w="8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VAL-13</w:t>
            </w:r>
          </w:p>
        </w:tc>
        <w:tc>
          <w:tcPr>
            <w:tcW w:type="dxa" w:w="21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BHP physical loss plausible vs. QLD floods (REV-2)</w:t>
            </w:r>
          </w:p>
        </w:tc>
        <w:tc>
          <w:tcPr>
            <w:tcW w:type="dxa" w:w="1400"/>
            <w:tcBorders>
              <w:top w:val="single" w:color="CCCCCC" w:sz="4"/>
              <w:left w:val="single" w:color="CCCCCC" w:sz="4"/>
              <w:bottom w:val="single" w:color="CCCCCC" w:sz="4"/>
              <w:right w:val="single" w:color="CCCCCC" w:sz="4"/>
            </w:tcBorders>
            <w:shd w:fill="FAD5D5" w:val="clear"/>
            <w:tcMar>
              <w:top w:type="dxa" w:w="80"/>
              <w:left w:type="dxa" w:w="120"/>
              <w:bottom w:type="dxa" w:w="80"/>
              <w:right w:type="dxa" w:w="120"/>
            </w:tcMar>
            <w:vAlign w:val="center"/>
          </w:tcPr>
          <w:p>
            <w:pPr>
              <w:jc w:val="center"/>
            </w:pPr>
            <w:r>
              <w:rPr>
                <w:rFonts w:ascii="Arial" w:cs="Arial" w:eastAsia="Arial" w:hAnsi="Arial"/>
                <w:b/>
                <w:bCs/>
                <w:color w:val="8B0000"/>
                <w:sz w:val="17"/>
                <w:szCs w:val="17"/>
              </w:rPr>
              <w:t xml:space="preserve">FAIL</w:t>
            </w:r>
          </w:p>
        </w:tc>
        <w:tc>
          <w:tcPr>
            <w:tcW w:type="dxa" w:w="264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Target: $200M – $2,000M (USD); Actual: $4,562M</w:t>
            </w:r>
          </w:p>
        </w:tc>
        <w:tc>
          <w:tcPr>
            <w:tcW w:type="dxa" w:w="244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LIVE RESULT: Same BHP total physical loss $4.562B exceeds the QLD flood reference ($950M) by ~5×. The model aggregates losses across all BHP assets (Pilbara + Olympic Dam + QLD Coal + Nickel West), so the comparison is not perfectly direct, but the total still appears over-calibrated.</w:t>
            </w:r>
          </w:p>
        </w:tc>
      </w:tr>
      <w:tr>
        <w:tc>
          <w:tcPr>
            <w:tcW w:type="dxa" w:w="8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VAL-14</w:t>
            </w:r>
          </w:p>
        </w:tc>
        <w:tc>
          <w:tcPr>
            <w:tcW w:type="dxa" w:w="21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Shell peak CP physical loss plausible vs. Texas freeze (REV-3)</w:t>
            </w:r>
          </w:p>
        </w:tc>
        <w:tc>
          <w:tcPr>
            <w:tcW w:type="dxa" w:w="1400"/>
            <w:tcBorders>
              <w:top w:val="single" w:color="CCCCCC" w:sz="4"/>
              <w:left w:val="single" w:color="CCCCCC" w:sz="4"/>
              <w:bottom w:val="single" w:color="CCCCCC" w:sz="4"/>
              <w:right w:val="single" w:color="CCCCCC" w:sz="4"/>
            </w:tcBorders>
            <w:shd w:fill="FAD5D5" w:val="clear"/>
            <w:tcMar>
              <w:top w:type="dxa" w:w="80"/>
              <w:left w:type="dxa" w:w="120"/>
              <w:bottom w:type="dxa" w:w="80"/>
              <w:right w:type="dxa" w:w="120"/>
            </w:tcMar>
            <w:vAlign w:val="center"/>
          </w:tcPr>
          <w:p>
            <w:pPr>
              <w:jc w:val="center"/>
            </w:pPr>
            <w:r>
              <w:rPr>
                <w:rFonts w:ascii="Arial" w:cs="Arial" w:eastAsia="Arial" w:hAnsi="Arial"/>
                <w:b/>
                <w:bCs/>
                <w:color w:val="8B0000"/>
                <w:sz w:val="17"/>
                <w:szCs w:val="17"/>
              </w:rPr>
              <w:t xml:space="preserve">FAIL</w:t>
            </w:r>
          </w:p>
        </w:tc>
        <w:tc>
          <w:tcPr>
            <w:tcW w:type="dxa" w:w="264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Target: $100M – $10,000M (USD); Actual: $9,405</w:t>
            </w:r>
          </w:p>
        </w:tc>
        <w:tc>
          <w:tcPr>
            <w:tcW w:type="dxa" w:w="244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LIVE RESULT: Shell peak CP physical_loss_cost = $9,405 USD millions = $9.4 billion. Reference: Texas freeze Shell EBIT impact $200–300M. Model over-estimates by ~30–47×. Same root cause as VAL-12: hazard multipliers calibrated to asset replacement cost, not realised annual event loss.</w:t>
            </w:r>
          </w:p>
        </w:tc>
      </w:tr>
      <w:tr>
        <w:tc>
          <w:tcPr>
            <w:tcW w:type="dxa" w:w="8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VAL-15</w:t>
            </w:r>
          </w:p>
        </w:tc>
        <w:tc>
          <w:tcPr>
            <w:tcW w:type="dxa" w:w="21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Shell NZE physical loss &lt; 10% of revenue</w:t>
            </w:r>
          </w:p>
        </w:tc>
        <w:tc>
          <w:tcPr>
            <w:tcW w:type="dxa" w:w="1400"/>
            <w:tcBorders>
              <w:top w:val="single" w:color="CCCCCC" w:sz="4"/>
              <w:left w:val="single" w:color="CCCCCC" w:sz="4"/>
              <w:bottom w:val="single" w:color="CCCCCC" w:sz="4"/>
              <w:right w:val="single" w:color="CCCCCC" w:sz="4"/>
            </w:tcBorders>
            <w:shd w:fill="D6F0D8" w:val="clear"/>
            <w:tcMar>
              <w:top w:type="dxa" w:w="80"/>
              <w:left w:type="dxa" w:w="120"/>
              <w:bottom w:type="dxa" w:w="80"/>
              <w:right w:type="dxa" w:w="120"/>
            </w:tcMar>
            <w:vAlign w:val="center"/>
          </w:tcPr>
          <w:p>
            <w:pPr>
              <w:jc w:val="center"/>
            </w:pPr>
            <w:r>
              <w:rPr>
                <w:rFonts w:ascii="Arial" w:cs="Arial" w:eastAsia="Arial" w:hAnsi="Arial"/>
                <w:b/>
                <w:bCs/>
                <w:color w:val="1A5C1A"/>
                <w:sz w:val="17"/>
                <w:szCs w:val="17"/>
              </w:rPr>
              <w:t xml:space="preserve">PASS</w:t>
            </w:r>
          </w:p>
        </w:tc>
        <w:tc>
          <w:tcPr>
            <w:tcW w:type="dxa" w:w="264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Hard cap: &lt; $38B annually</w:t>
            </w:r>
          </w:p>
        </w:tc>
        <w:tc>
          <w:tcPr>
            <w:tcW w:type="dxa" w:w="244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Shell annual NZE revenue by 2040 ≈ $56B (analytically derived: crude 900 Mt × $60 + LNG 750 Mt × $2.8). 10% = $5.6B. Physical loss from 2 upstream assets is unlikely to exceed $5.6B annually. Passes with high confidence.</w:t>
            </w:r>
          </w:p>
        </w:tc>
      </w:tr>
    </w:tbl>
    <w:p>
      <w:pPr>
        <w:spacing w:after="80" w:before="0"/>
      </w:pPr>
      <w:r>
        <w:t xml:space="preserve"/>
      </w:r>
    </w:p>
    <w:p>
      <w:pPr>
        <w:pStyle w:val="Heading2"/>
        <w:spacing w:after="80" w:before="240"/>
      </w:pPr>
      <w:r>
        <w:rPr>
          <w:rFonts w:ascii="Arial" w:cs="Arial" w:eastAsia="Arial" w:hAnsi="Arial"/>
          <w:b/>
          <w:bCs/>
          <w:color w:val="2A8C7A"/>
          <w:sz w:val="26"/>
          <w:szCs w:val="26"/>
        </w:rPr>
        <w:t xml:space="preserve">4.3 Known Calibration Limitation: Regional Hazard Coverage</w:t>
      </w:r>
    </w:p>
    <w:p>
      <w:pPr>
        <w:spacing w:after="60" w:before="60"/>
      </w:pPr>
      <w:r>
        <w:rPr>
          <w:rFonts w:ascii="Arial" w:cs="Arial" w:eastAsia="Arial" w:hAnsi="Arial"/>
          <w:sz w:val="20"/>
          <w:szCs w:val="20"/>
        </w:rPr>
        <w:t xml:space="preserve">The scenario files (scenarios.py) define explicit hazard paths only for AU-WA (cyclone, heat stress) and CL-02 (water stress). The PhysicalHazardEngine is expected to carry a broader regional database from WRI Aqueduct, but this could not be verified without code execution. Assets in US-TX (Shell Permian) depend entirely on the hazard engine's regional lookup.</w:t>
      </w:r>
    </w:p>
    <w:p>
      <w:pPr>
        <w:spacing w:after="80" w:before="0"/>
      </w:pPr>
      <w:r>
        <w:t xml:space="preserve"/>
      </w:r>
    </w:p>
    <w:p>
      <w:pPr>
        <w:spacing w:after="60" w:before="60"/>
      </w:pPr>
      <w:r>
        <w:rPr>
          <w:rFonts w:ascii="Arial" w:cs="Arial" w:eastAsia="Arial" w:hAnsi="Arial"/>
          <w:sz w:val="20"/>
          <w:szCs w:val="20"/>
        </w:rPr>
        <w:t xml:space="preserve">This is a material gap for any client whose primary assets are outside AU-WA and CL-02. For a diversified energy or mining company with assets in the US Gulf Coast, West Africa, the Middle East, or Southeast Asia, the model relies on the hazard engine database to supply the hazard parameters. A dedicated test confirming regional coverage for each asset-bearing region should be added to the test suite.</w:t>
      </w:r>
    </w:p>
    <w:p>
      <w:r>
        <w:br w:type="page"/>
      </w:r>
    </w:p>
    <w:p>
      <w:pPr>
        <w:pStyle w:val="Heading1"/>
        <w:spacing w:after="120" w:before="360"/>
      </w:pPr>
      <w:r>
        <w:rPr>
          <w:rFonts w:ascii="Arial" w:cs="Arial" w:eastAsia="Arial" w:hAnsi="Arial"/>
          <w:b/>
          <w:bCs/>
          <w:color w:val="1A3C5E"/>
          <w:sz w:val="32"/>
          <w:szCs w:val="32"/>
        </w:rPr>
        <w:t xml:space="preserve">5. Category 4: Sensitivity Analysis</w:t>
      </w:r>
    </w:p>
    <w:p>
      <w:pPr>
        <w:pBdr>
          <w:bottom w:val="single" w:color="2A8C7A" w:sz="6" w:space="1"/>
        </w:pBdr>
        <w:spacing w:after="120" w:before="120"/>
      </w:pPr>
      <w:r>
        <w:t xml:space="preserve"/>
      </w:r>
    </w:p>
    <w:p>
      <w:pPr>
        <w:spacing w:after="60" w:before="60"/>
      </w:pPr>
      <w:r>
        <w:rPr>
          <w:rFonts w:ascii="Arial" w:cs="Arial" w:eastAsia="Arial" w:hAnsi="Arial"/>
          <w:sz w:val="20"/>
          <w:szCs w:val="20"/>
        </w:rPr>
        <w:t xml:space="preserve">These tests verify that the model responds monotonically and proportionally to controlled input perturbations. A model that does not respond predictably to inputs cannot be trusted to rank companies correctly.</w:t>
      </w:r>
    </w:p>
    <w:p>
      <w:pPr>
        <w:spacing w:after="80" w:before="0"/>
      </w:pPr>
      <w:r>
        <w:t xml:space="preserve"/>
      </w:r>
    </w:p>
    <w:tbl>
      <w:tblPr>
        <w:tblW w:type="dxa" w:w="9386"/>
        <w:tblBorders>
          <w:top w:val="single" w:color="auto" w:sz="4"/>
          <w:left w:val="single" w:color="auto" w:sz="4"/>
          <w:bottom w:val="single" w:color="auto" w:sz="4"/>
          <w:right w:val="single" w:color="auto" w:sz="4"/>
          <w:insideH w:val="single" w:color="auto" w:sz="4"/>
          <w:insideV w:val="single" w:color="auto" w:sz="4"/>
        </w:tblBorders>
      </w:tblPr>
      <w:tblGrid>
        <w:gridCol w:w="800"/>
        <w:gridCol w:w="2500"/>
        <w:gridCol w:w="1400"/>
        <w:gridCol w:w="2300"/>
        <w:gridCol w:w="2386"/>
      </w:tblGrid>
      <w:tr>
        <w:tc>
          <w:tcPr>
            <w:tcW w:type="dxa" w:w="800"/>
            <w:tcBorders>
              <w:top w:val="single" w:color="1A3C5E" w:sz="6"/>
              <w:left w:val="single" w:color="1A3C5E" w:sz="6"/>
              <w:bottom w:val="single" w:color="1A3C5E" w:sz="6"/>
              <w:right w:val="single" w:color="1A3C5E" w:sz="6"/>
            </w:tcBorders>
            <w:shd w:fill="1A3C5E"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ID</w:t>
            </w:r>
          </w:p>
        </w:tc>
        <w:tc>
          <w:tcPr>
            <w:tcW w:type="dxa" w:w="2500"/>
            <w:tcBorders>
              <w:top w:val="single" w:color="1A3C5E" w:sz="6"/>
              <w:left w:val="single" w:color="1A3C5E" w:sz="6"/>
              <w:bottom w:val="single" w:color="1A3C5E" w:sz="6"/>
              <w:right w:val="single" w:color="1A3C5E" w:sz="6"/>
            </w:tcBorders>
            <w:shd w:fill="1A3C5E"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Perturbation</w:t>
            </w:r>
          </w:p>
        </w:tc>
        <w:tc>
          <w:tcPr>
            <w:tcW w:type="dxa" w:w="1400"/>
            <w:tcBorders>
              <w:top w:val="single" w:color="1A3C5E" w:sz="6"/>
              <w:left w:val="single" w:color="1A3C5E" w:sz="6"/>
              <w:bottom w:val="single" w:color="1A3C5E" w:sz="6"/>
              <w:right w:val="single" w:color="1A3C5E" w:sz="6"/>
            </w:tcBorders>
            <w:shd w:fill="1A3C5E"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Verdict</w:t>
            </w:r>
          </w:p>
        </w:tc>
        <w:tc>
          <w:tcPr>
            <w:tcW w:type="dxa" w:w="2300"/>
            <w:tcBorders>
              <w:top w:val="single" w:color="1A3C5E" w:sz="6"/>
              <w:left w:val="single" w:color="1A3C5E" w:sz="6"/>
              <w:bottom w:val="single" w:color="1A3C5E" w:sz="6"/>
              <w:right w:val="single" w:color="1A3C5E" w:sz="6"/>
            </w:tcBorders>
            <w:shd w:fill="1A3C5E"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Expected Response</w:t>
            </w:r>
          </w:p>
        </w:tc>
        <w:tc>
          <w:tcPr>
            <w:tcW w:type="dxa" w:w="2386"/>
            <w:tcBorders>
              <w:top w:val="single" w:color="1A3C5E" w:sz="6"/>
              <w:left w:val="single" w:color="1A3C5E" w:sz="6"/>
              <w:bottom w:val="single" w:color="1A3C5E" w:sz="6"/>
              <w:right w:val="single" w:color="1A3C5E" w:sz="6"/>
            </w:tcBorders>
            <w:shd w:fill="1A3C5E"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Notes</w:t>
            </w:r>
          </w:p>
        </w:tc>
      </w:tr>
      <w:tr>
        <w:tc>
          <w:tcPr>
            <w:tcW w:type="dxa" w:w="8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VAL-16</w:t>
            </w:r>
          </w:p>
        </w:tc>
        <w:tc>
          <w:tcPr>
            <w:tcW w:type="dxa" w:w="21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Doubling scope1 carbon intensity → higher transition score</w:t>
            </w:r>
          </w:p>
        </w:tc>
        <w:tc>
          <w:tcPr>
            <w:tcW w:type="dxa" w:w="1400"/>
            <w:tcBorders>
              <w:top w:val="single" w:color="CCCCCC" w:sz="4"/>
              <w:left w:val="single" w:color="CCCCCC" w:sz="4"/>
              <w:bottom w:val="single" w:color="CCCCCC" w:sz="4"/>
              <w:right w:val="single" w:color="CCCCCC" w:sz="4"/>
            </w:tcBorders>
            <w:shd w:fill="D6F0D8" w:val="clear"/>
            <w:tcMar>
              <w:top w:type="dxa" w:w="80"/>
              <w:left w:type="dxa" w:w="120"/>
              <w:bottom w:type="dxa" w:w="80"/>
              <w:right w:type="dxa" w:w="120"/>
            </w:tcMar>
            <w:vAlign w:val="center"/>
          </w:tcPr>
          <w:p>
            <w:pPr>
              <w:jc w:val="center"/>
            </w:pPr>
            <w:r>
              <w:rPr>
                <w:rFonts w:ascii="Arial" w:cs="Arial" w:eastAsia="Arial" w:hAnsi="Arial"/>
                <w:b/>
                <w:bCs/>
                <w:color w:val="1A5C1A"/>
                <w:sz w:val="17"/>
                <w:szCs w:val="17"/>
              </w:rPr>
              <w:t xml:space="preserve">PASS</w:t>
            </w:r>
          </w:p>
        </w:tc>
        <w:tc>
          <w:tcPr>
            <w:tcW w:type="dxa" w:w="264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T score increases ≥3 pts</w:t>
            </w:r>
          </w:p>
        </w:tc>
        <w:tc>
          <w:tcPr>
            <w:tcW w:type="dxa" w:w="244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Carbon cost = emissions × price. Doubling scope1 intensity doubles scope1 emissions, which directly increases carbon_cost in all years. Carbon burden component and potentially EBITDA compression both increase. Effect is proportional and guaranteed.</w:t>
            </w:r>
          </w:p>
        </w:tc>
      </w:tr>
      <w:tr>
        <w:tc>
          <w:tcPr>
            <w:tcW w:type="dxa" w:w="8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VAL-17</w:t>
            </w:r>
          </w:p>
        </w:tc>
        <w:tc>
          <w:tcPr>
            <w:tcW w:type="dxa" w:w="21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Removing BHP coal → lower transition score</w:t>
            </w:r>
          </w:p>
        </w:tc>
        <w:tc>
          <w:tcPr>
            <w:tcW w:type="dxa" w:w="1400"/>
            <w:tcBorders>
              <w:top w:val="single" w:color="CCCCCC" w:sz="4"/>
              <w:left w:val="single" w:color="CCCCCC" w:sz="4"/>
              <w:bottom w:val="single" w:color="CCCCCC" w:sz="4"/>
              <w:right w:val="single" w:color="CCCCCC" w:sz="4"/>
            </w:tcBorders>
            <w:shd w:fill="D6F0D8" w:val="clear"/>
            <w:tcMar>
              <w:top w:type="dxa" w:w="80"/>
              <w:left w:type="dxa" w:w="120"/>
              <w:bottom w:type="dxa" w:w="80"/>
              <w:right w:type="dxa" w:w="120"/>
            </w:tcMar>
            <w:vAlign w:val="center"/>
          </w:tcPr>
          <w:p>
            <w:pPr>
              <w:jc w:val="center"/>
            </w:pPr>
            <w:r>
              <w:rPr>
                <w:rFonts w:ascii="Arial" w:cs="Arial" w:eastAsia="Arial" w:hAnsi="Arial"/>
                <w:b/>
                <w:bCs/>
                <w:color w:val="1A5C1A"/>
                <w:sz w:val="17"/>
                <w:szCs w:val="17"/>
              </w:rPr>
              <w:t xml:space="preserve">PASS</w:t>
            </w:r>
          </w:p>
        </w:tc>
        <w:tc>
          <w:tcPr>
            <w:tcW w:type="dxa" w:w="264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T score decreases</w:t>
            </w:r>
          </w:p>
        </w:tc>
        <w:tc>
          <w:tcPr>
            <w:tcW w:type="dxa" w:w="244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Coal (metallurgical) demand falls to 45% of baseline by 2050 under NZE. Removing the coal asset eliminates the demand-shift revenue decline component. The transition score must decrease or stay equal — it cannot increase.</w:t>
            </w:r>
          </w:p>
        </w:tc>
      </w:tr>
      <w:tr>
        <w:tc>
          <w:tcPr>
            <w:tcW w:type="dxa" w:w="8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VAL-18</w:t>
            </w:r>
          </w:p>
        </w:tc>
        <w:tc>
          <w:tcPr>
            <w:tcW w:type="dxa" w:w="21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Moving asset from CA-QC to IN-MH → higher physical score</w:t>
            </w:r>
          </w:p>
        </w:tc>
        <w:tc>
          <w:tcPr>
            <w:tcW w:type="dxa" w:w="1400"/>
            <w:tcBorders>
              <w:top w:val="single" w:color="CCCCCC" w:sz="4"/>
              <w:left w:val="single" w:color="CCCCCC" w:sz="4"/>
              <w:bottom w:val="single" w:color="CCCCCC" w:sz="4"/>
              <w:right w:val="single" w:color="CCCCCC" w:sz="4"/>
            </w:tcBorders>
            <w:shd w:fill="FFF3CD" w:val="clear"/>
            <w:tcMar>
              <w:top w:type="dxa" w:w="80"/>
              <w:left w:type="dxa" w:w="120"/>
              <w:bottom w:type="dxa" w:w="80"/>
              <w:right w:type="dxa" w:w="120"/>
            </w:tcMar>
            <w:vAlign w:val="center"/>
          </w:tcPr>
          <w:p>
            <w:pPr>
              <w:jc w:val="center"/>
            </w:pPr>
            <w:r>
              <w:rPr>
                <w:rFonts w:ascii="Arial" w:cs="Arial" w:eastAsia="Arial" w:hAnsi="Arial"/>
                <w:b/>
                <w:bCs/>
                <w:color w:val="7B5600"/>
                <w:sz w:val="17"/>
                <w:szCs w:val="17"/>
              </w:rPr>
              <w:t xml:space="preserve">CONDITIONAL PASS</w:t>
            </w:r>
          </w:p>
        </w:tc>
        <w:tc>
          <w:tcPr>
            <w:tcW w:type="dxa" w:w="264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P score increases or stays equal</w:t>
            </w:r>
          </w:p>
        </w:tc>
        <w:tc>
          <w:tcPr>
            <w:tcW w:type="dxa" w:w="244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IN-MH (Maharashtra, India) has higher flood and heat stress risk than CA-QC (Quebec, Canada). Conditional because the hazard engine lookup for IN-MH depends on the regional database. If IN-MH is not explicitly covered, the engine may fall back to a default, potentially equal to or lower than CA-QC. This test should be validated with execution.</w:t>
            </w:r>
          </w:p>
        </w:tc>
      </w:tr>
      <w:tr>
        <w:tc>
          <w:tcPr>
            <w:tcW w:type="dxa" w:w="8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VAL-19</w:t>
            </w:r>
          </w:p>
        </w:tc>
        <w:tc>
          <w:tcPr>
            <w:tcW w:type="dxa" w:w="21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Tripling net debt → lower equity value</w:t>
            </w:r>
          </w:p>
        </w:tc>
        <w:tc>
          <w:tcPr>
            <w:tcW w:type="dxa" w:w="1400"/>
            <w:tcBorders>
              <w:top w:val="single" w:color="CCCCCC" w:sz="4"/>
              <w:left w:val="single" w:color="CCCCCC" w:sz="4"/>
              <w:bottom w:val="single" w:color="CCCCCC" w:sz="4"/>
              <w:right w:val="single" w:color="CCCCCC" w:sz="4"/>
            </w:tcBorders>
            <w:shd w:fill="D6F0D8" w:val="clear"/>
            <w:tcMar>
              <w:top w:type="dxa" w:w="80"/>
              <w:left w:type="dxa" w:w="120"/>
              <w:bottom w:type="dxa" w:w="80"/>
              <w:right w:type="dxa" w:w="120"/>
            </w:tcMar>
            <w:vAlign w:val="center"/>
          </w:tcPr>
          <w:p>
            <w:pPr>
              <w:jc w:val="center"/>
            </w:pPr>
            <w:r>
              <w:rPr>
                <w:rFonts w:ascii="Arial" w:cs="Arial" w:eastAsia="Arial" w:hAnsi="Arial"/>
                <w:b/>
                <w:bCs/>
                <w:color w:val="1A5C1A"/>
                <w:sz w:val="17"/>
                <w:szCs w:val="17"/>
              </w:rPr>
              <w:t xml:space="preserve">PASS</w:t>
            </w:r>
          </w:p>
        </w:tc>
        <w:tc>
          <w:tcPr>
            <w:tcW w:type="dxa" w:w="264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Equity value decreases</w:t>
            </w:r>
          </w:p>
        </w:tc>
        <w:tc>
          <w:tcPr>
            <w:tcW w:type="dxa" w:w="244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Equity = EV – Net Debt. Tripling net debt from $5B to $15B reduces equity by $10B for BHP. Guaranteed by the DCF formula. Enterprise value is unaffected by net debt.</w:t>
            </w:r>
          </w:p>
        </w:tc>
      </w:tr>
      <w:tr>
        <w:tc>
          <w:tcPr>
            <w:tcW w:type="dxa" w:w="8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VAL-20</w:t>
            </w:r>
          </w:p>
        </w:tc>
        <w:tc>
          <w:tcPr>
            <w:tcW w:type="dxa" w:w="21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Changing weight profile → only composite changes, not pillar scores</w:t>
            </w:r>
          </w:p>
        </w:tc>
        <w:tc>
          <w:tcPr>
            <w:tcW w:type="dxa" w:w="1400"/>
            <w:tcBorders>
              <w:top w:val="single" w:color="CCCCCC" w:sz="4"/>
              <w:left w:val="single" w:color="CCCCCC" w:sz="4"/>
              <w:bottom w:val="single" w:color="CCCCCC" w:sz="4"/>
              <w:right w:val="single" w:color="CCCCCC" w:sz="4"/>
            </w:tcBorders>
            <w:shd w:fill="D6F0D8" w:val="clear"/>
            <w:tcMar>
              <w:top w:type="dxa" w:w="80"/>
              <w:left w:type="dxa" w:w="120"/>
              <w:bottom w:type="dxa" w:w="80"/>
              <w:right w:type="dxa" w:w="120"/>
            </w:tcMar>
            <w:vAlign w:val="center"/>
          </w:tcPr>
          <w:p>
            <w:pPr>
              <w:jc w:val="center"/>
            </w:pPr>
            <w:r>
              <w:rPr>
                <w:rFonts w:ascii="Arial" w:cs="Arial" w:eastAsia="Arial" w:hAnsi="Arial"/>
                <w:b/>
                <w:bCs/>
                <w:color w:val="1A5C1A"/>
                <w:sz w:val="17"/>
                <w:szCs w:val="17"/>
              </w:rPr>
              <w:t xml:space="preserve">PASS</w:t>
            </w:r>
          </w:p>
        </w:tc>
        <w:tc>
          <w:tcPr>
            <w:tcW w:type="dxa" w:w="264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Pillar scores unchanged; composite changes</w:t>
            </w:r>
          </w:p>
        </w:tc>
        <w:tc>
          <w:tcPr>
            <w:tcW w:type="dxa" w:w="244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Weight profile is applied only in the composite calculation: w_p × P + w_t × T + w_f × F. The pillar score functions (_physical_score, _transition_score, _financial_score) have no knowledge of weight profile. Pillar score stability is architecturally guaranteed.</w:t>
            </w:r>
          </w:p>
        </w:tc>
      </w:tr>
    </w:tbl>
    <w:p>
      <w:pPr>
        <w:spacing w:after="80" w:before="0"/>
      </w:pPr>
      <w:r>
        <w:t xml:space="preserve"/>
      </w:r>
    </w:p>
    <w:p>
      <w:pPr>
        <w:pStyle w:val="Heading2"/>
        <w:spacing w:after="80" w:before="240"/>
      </w:pPr>
      <w:r>
        <w:rPr>
          <w:rFonts w:ascii="Arial" w:cs="Arial" w:eastAsia="Arial" w:hAnsi="Arial"/>
          <w:b/>
          <w:bCs/>
          <w:color w:val="2A8C7A"/>
          <w:sz w:val="26"/>
          <w:szCs w:val="26"/>
        </w:rPr>
        <w:t xml:space="preserve">Sensitivity Summary</w:t>
      </w:r>
    </w:p>
    <w:p>
      <w:pPr>
        <w:spacing w:after="60" w:before="60"/>
      </w:pPr>
      <w:r>
        <w:rPr>
          <w:rFonts w:ascii="Arial" w:cs="Arial" w:eastAsia="Arial" w:hAnsi="Arial"/>
          <w:sz w:val="20"/>
          <w:szCs w:val="20"/>
        </w:rPr>
        <w:t xml:space="preserve">All five sensitivity tests pass analytically. The model exhibits the expected monotonic and proportional responses to input changes. The only conditional result (VAL-18) depends on the hazard engine's regional database, which requires execution to confirm.</w:t>
      </w:r>
    </w:p>
    <w:p>
      <w:r>
        <w:br w:type="page"/>
      </w:r>
    </w:p>
    <w:p>
      <w:pPr>
        <w:pStyle w:val="Heading1"/>
        <w:spacing w:after="120" w:before="360"/>
      </w:pPr>
      <w:r>
        <w:rPr>
          <w:rFonts w:ascii="Arial" w:cs="Arial" w:eastAsia="Arial" w:hAnsi="Arial"/>
          <w:b/>
          <w:bCs/>
          <w:color w:val="1A3C5E"/>
          <w:sz w:val="32"/>
          <w:szCs w:val="32"/>
        </w:rPr>
        <w:t xml:space="preserve">6. Category 5: Edge Case Robustness</w:t>
      </w:r>
    </w:p>
    <w:p>
      <w:pPr>
        <w:pBdr>
          <w:bottom w:val="single" w:color="2A8C7A" w:sz="6" w:space="1"/>
        </w:pBdr>
        <w:spacing w:after="120" w:before="120"/>
      </w:pPr>
      <w:r>
        <w:t xml:space="preserve"/>
      </w:r>
    </w:p>
    <w:p>
      <w:pPr>
        <w:spacing w:after="60" w:before="60"/>
      </w:pPr>
      <w:r>
        <w:rPr>
          <w:rFonts w:ascii="Arial" w:cs="Arial" w:eastAsia="Arial" w:hAnsi="Arial"/>
          <w:sz w:val="20"/>
          <w:szCs w:val="20"/>
        </w:rPr>
        <w:t xml:space="preserve">These tests verify that the model handles degenerate inputs without producing exceptions, NaN, Inf, or nonsensical outputs. Robustness to edge cases is a prerequisite for production deployment.</w:t>
      </w:r>
    </w:p>
    <w:p>
      <w:pPr>
        <w:spacing w:after="80" w:before="0"/>
      </w:pPr>
      <w:r>
        <w:t xml:space="preserve"/>
      </w:r>
    </w:p>
    <w:tbl>
      <w:tblPr>
        <w:tblW w:type="dxa" w:w="9386"/>
        <w:tblBorders>
          <w:top w:val="single" w:color="auto" w:sz="4"/>
          <w:left w:val="single" w:color="auto" w:sz="4"/>
          <w:bottom w:val="single" w:color="auto" w:sz="4"/>
          <w:right w:val="single" w:color="auto" w:sz="4"/>
          <w:insideH w:val="single" w:color="auto" w:sz="4"/>
          <w:insideV w:val="single" w:color="auto" w:sz="4"/>
        </w:tblBorders>
      </w:tblPr>
      <w:tblGrid>
        <w:gridCol w:w="800"/>
        <w:gridCol w:w="2800"/>
        <w:gridCol w:w="1400"/>
        <w:gridCol w:w="4386"/>
      </w:tblGrid>
      <w:tr>
        <w:tc>
          <w:tcPr>
            <w:tcW w:type="dxa" w:w="800"/>
            <w:tcBorders>
              <w:top w:val="single" w:color="1A3C5E" w:sz="6"/>
              <w:left w:val="single" w:color="1A3C5E" w:sz="6"/>
              <w:bottom w:val="single" w:color="1A3C5E" w:sz="6"/>
              <w:right w:val="single" w:color="1A3C5E" w:sz="6"/>
            </w:tcBorders>
            <w:shd w:fill="1A3C5E"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ID</w:t>
            </w:r>
          </w:p>
        </w:tc>
        <w:tc>
          <w:tcPr>
            <w:tcW w:type="dxa" w:w="2800"/>
            <w:tcBorders>
              <w:top w:val="single" w:color="1A3C5E" w:sz="6"/>
              <w:left w:val="single" w:color="1A3C5E" w:sz="6"/>
              <w:bottom w:val="single" w:color="1A3C5E" w:sz="6"/>
              <w:right w:val="single" w:color="1A3C5E" w:sz="6"/>
            </w:tcBorders>
            <w:shd w:fill="1A3C5E"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Edge Case</w:t>
            </w:r>
          </w:p>
        </w:tc>
        <w:tc>
          <w:tcPr>
            <w:tcW w:type="dxa" w:w="1400"/>
            <w:tcBorders>
              <w:top w:val="single" w:color="1A3C5E" w:sz="6"/>
              <w:left w:val="single" w:color="1A3C5E" w:sz="6"/>
              <w:bottom w:val="single" w:color="1A3C5E" w:sz="6"/>
              <w:right w:val="single" w:color="1A3C5E" w:sz="6"/>
            </w:tcBorders>
            <w:shd w:fill="1A3C5E"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Verdict</w:t>
            </w:r>
          </w:p>
        </w:tc>
        <w:tc>
          <w:tcPr>
            <w:tcW w:type="dxa" w:w="4386"/>
            <w:tcBorders>
              <w:top w:val="single" w:color="1A3C5E" w:sz="6"/>
              <w:left w:val="single" w:color="1A3C5E" w:sz="6"/>
              <w:bottom w:val="single" w:color="1A3C5E" w:sz="6"/>
              <w:right w:val="single" w:color="1A3C5E" w:sz="6"/>
            </w:tcBorders>
            <w:shd w:fill="1A3C5E"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Design Mechanism</w:t>
            </w:r>
          </w:p>
        </w:tc>
      </w:tr>
      <w:tr>
        <w:tc>
          <w:tcPr>
            <w:tcW w:type="dxa" w:w="8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VAL-21</w:t>
            </w:r>
          </w:p>
        </w:tc>
        <w:tc>
          <w:tcPr>
            <w:tcW w:type="dxa" w:w="28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Zero-emissions company scores &lt; 20 on Transition</w:t>
            </w:r>
          </w:p>
        </w:tc>
        <w:tc>
          <w:tcPr>
            <w:tcW w:type="dxa" w:w="1400"/>
            <w:tcBorders>
              <w:top w:val="single" w:color="CCCCCC" w:sz="4"/>
              <w:left w:val="single" w:color="CCCCCC" w:sz="4"/>
              <w:bottom w:val="single" w:color="CCCCCC" w:sz="4"/>
              <w:right w:val="single" w:color="CCCCCC" w:sz="4"/>
            </w:tcBorders>
            <w:shd w:fill="FAD5D5" w:val="clear"/>
            <w:tcMar>
              <w:top w:type="dxa" w:w="80"/>
              <w:left w:type="dxa" w:w="120"/>
              <w:bottom w:type="dxa" w:w="80"/>
              <w:right w:type="dxa" w:w="120"/>
            </w:tcMar>
            <w:vAlign w:val="center"/>
          </w:tcPr>
          <w:p>
            <w:pPr>
              <w:jc w:val="center"/>
            </w:pPr>
            <w:r>
              <w:rPr>
                <w:rFonts w:ascii="Arial" w:cs="Arial" w:eastAsia="Arial" w:hAnsi="Arial"/>
                <w:b/>
                <w:bCs/>
                <w:color w:val="8B0000"/>
                <w:sz w:val="17"/>
                <w:szCs w:val="17"/>
              </w:rPr>
              <w:t xml:space="preserve">FAIL</w:t>
            </w:r>
          </w:p>
        </w:tc>
        <w:tc>
          <w:tcPr>
            <w:tcW w:type="dxa" w:w="438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LIVE RESULT: Zero-emissions iron ore company scores 38.3/100 on Transition (threshold: &lt;20). Failure mode: commodity demand-shift risk (iron ore demand declines under NZE) drives 23% revenue decline by 2040, contributing ~15 pts to the T score regardless of the company's own emissions. This is a product design question: should a zero-Scope-1/2/3 company still face transition risk from commodity demand-shift? If yes, the test threshold needs raising to ~40. If no, demand-shift scoring should be conditioned on asset emissions intensity.</w:t>
            </w:r>
          </w:p>
        </w:tc>
      </w:tr>
      <w:tr>
        <w:tc>
          <w:tcPr>
            <w:tcW w:type="dxa" w:w="8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VAL-22</w:t>
            </w:r>
          </w:p>
        </w:tc>
        <w:tc>
          <w:tcPr>
            <w:tcW w:type="dxa" w:w="28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Negative EBITDA — regression test for Transition=0 bug</w:t>
            </w:r>
          </w:p>
        </w:tc>
        <w:tc>
          <w:tcPr>
            <w:tcW w:type="dxa" w:w="1400"/>
            <w:tcBorders>
              <w:top w:val="single" w:color="CCCCCC" w:sz="4"/>
              <w:left w:val="single" w:color="CCCCCC" w:sz="4"/>
              <w:bottom w:val="single" w:color="CCCCCC" w:sz="4"/>
              <w:right w:val="single" w:color="CCCCCC" w:sz="4"/>
            </w:tcBorders>
            <w:shd w:fill="D6F0D8" w:val="clear"/>
            <w:tcMar>
              <w:top w:type="dxa" w:w="80"/>
              <w:left w:type="dxa" w:w="120"/>
              <w:bottom w:type="dxa" w:w="80"/>
              <w:right w:type="dxa" w:w="120"/>
            </w:tcMar>
            <w:vAlign w:val="center"/>
          </w:tcPr>
          <w:p>
            <w:pPr>
              <w:jc w:val="center"/>
            </w:pPr>
            <w:r>
              <w:rPr>
                <w:rFonts w:ascii="Arial" w:cs="Arial" w:eastAsia="Arial" w:hAnsi="Arial"/>
                <w:b/>
                <w:bCs/>
                <w:color w:val="1A5C1A"/>
                <w:sz w:val="17"/>
                <w:szCs w:val="17"/>
              </w:rPr>
              <w:t xml:space="preserve">PASS</w:t>
            </w:r>
          </w:p>
        </w:tc>
        <w:tc>
          <w:tcPr>
            <w:tcW w:type="dxa" w:w="438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Previous model version used EBITDA as denominator in _transition_score(), producing score=0 when EBITDA≤0 (a measurement artefact masking real carbon exposure). Fixed by switching all components to revenue denominator (base_rev = max(revenue, 1e-9)). Division by zero is now impossible.</w:t>
            </w:r>
          </w:p>
        </w:tc>
      </w:tr>
      <w:tr>
        <w:tc>
          <w:tcPr>
            <w:tcW w:type="dxa" w:w="8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VAL-23</w:t>
            </w:r>
          </w:p>
        </w:tc>
        <w:tc>
          <w:tcPr>
            <w:tcW w:type="dxa" w:w="28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Single-asset company</w:t>
            </w:r>
          </w:p>
        </w:tc>
        <w:tc>
          <w:tcPr>
            <w:tcW w:type="dxa" w:w="1400"/>
            <w:tcBorders>
              <w:top w:val="single" w:color="CCCCCC" w:sz="4"/>
              <w:left w:val="single" w:color="CCCCCC" w:sz="4"/>
              <w:bottom w:val="single" w:color="CCCCCC" w:sz="4"/>
              <w:right w:val="single" w:color="CCCCCC" w:sz="4"/>
            </w:tcBorders>
            <w:shd w:fill="D6F0D8" w:val="clear"/>
            <w:tcMar>
              <w:top w:type="dxa" w:w="80"/>
              <w:left w:type="dxa" w:w="120"/>
              <w:bottom w:type="dxa" w:w="80"/>
              <w:right w:type="dxa" w:w="120"/>
            </w:tcMar>
            <w:vAlign w:val="center"/>
          </w:tcPr>
          <w:p>
            <w:pPr>
              <w:jc w:val="center"/>
            </w:pPr>
            <w:r>
              <w:rPr>
                <w:rFonts w:ascii="Arial" w:cs="Arial" w:eastAsia="Arial" w:hAnsi="Arial"/>
                <w:b/>
                <w:bCs/>
                <w:color w:val="1A5C1A"/>
                <w:sz w:val="17"/>
                <w:szCs w:val="17"/>
              </w:rPr>
              <w:t xml:space="preserve">PASS</w:t>
            </w:r>
          </w:p>
        </w:tc>
        <w:tc>
          <w:tcPr>
            <w:tcW w:type="dxa" w:w="438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simulate() iterates over company.assets; a single-element list is valid. DCF requires at least one year result; 25 years always produced. No aggregation bug possible with single asset.</w:t>
            </w:r>
          </w:p>
        </w:tc>
      </w:tr>
      <w:tr>
        <w:tc>
          <w:tcPr>
            <w:tcW w:type="dxa" w:w="8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VAL-24</w:t>
            </w:r>
          </w:p>
        </w:tc>
        <w:tc>
          <w:tcPr>
            <w:tcW w:type="dxa" w:w="28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Custom weights not summing to 1.0 → raises ValueError</w:t>
            </w:r>
          </w:p>
        </w:tc>
        <w:tc>
          <w:tcPr>
            <w:tcW w:type="dxa" w:w="1400"/>
            <w:tcBorders>
              <w:top w:val="single" w:color="CCCCCC" w:sz="4"/>
              <w:left w:val="single" w:color="CCCCCC" w:sz="4"/>
              <w:bottom w:val="single" w:color="CCCCCC" w:sz="4"/>
              <w:right w:val="single" w:color="CCCCCC" w:sz="4"/>
            </w:tcBorders>
            <w:shd w:fill="D6F0D8" w:val="clear"/>
            <w:tcMar>
              <w:top w:type="dxa" w:w="80"/>
              <w:left w:type="dxa" w:w="120"/>
              <w:bottom w:type="dxa" w:w="80"/>
              <w:right w:type="dxa" w:w="120"/>
            </w:tcMar>
            <w:vAlign w:val="center"/>
          </w:tcPr>
          <w:p>
            <w:pPr>
              <w:jc w:val="center"/>
            </w:pPr>
            <w:r>
              <w:rPr>
                <w:rFonts w:ascii="Arial" w:cs="Arial" w:eastAsia="Arial" w:hAnsi="Arial"/>
                <w:b/>
                <w:bCs/>
                <w:color w:val="1A5C1A"/>
                <w:sz w:val="17"/>
                <w:szCs w:val="17"/>
              </w:rPr>
              <w:t xml:space="preserve">PASS</w:t>
            </w:r>
          </w:p>
        </w:tc>
        <w:tc>
          <w:tcPr>
            <w:tcW w:type="dxa" w:w="438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rate() checks abs(w_p + w_t + w_f - 1.0) &gt; 1e-6 and raises ValueError with clear message. Tested with (0.50, 0.30, 0.30) = 1.10. Validation is explicit.</w:t>
            </w:r>
          </w:p>
        </w:tc>
      </w:tr>
      <w:tr>
        <w:tc>
          <w:tcPr>
            <w:tcW w:type="dxa" w:w="8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VAL-25</w:t>
            </w:r>
          </w:p>
        </w:tc>
        <w:tc>
          <w:tcPr>
            <w:tcW w:type="dxa" w:w="28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CUSTOM profile with custom_weights=None → raises ValueError</w:t>
            </w:r>
          </w:p>
        </w:tc>
        <w:tc>
          <w:tcPr>
            <w:tcW w:type="dxa" w:w="1400"/>
            <w:tcBorders>
              <w:top w:val="single" w:color="CCCCCC" w:sz="4"/>
              <w:left w:val="single" w:color="CCCCCC" w:sz="4"/>
              <w:bottom w:val="single" w:color="CCCCCC" w:sz="4"/>
              <w:right w:val="single" w:color="CCCCCC" w:sz="4"/>
            </w:tcBorders>
            <w:shd w:fill="D6F0D8" w:val="clear"/>
            <w:tcMar>
              <w:top w:type="dxa" w:w="80"/>
              <w:left w:type="dxa" w:w="120"/>
              <w:bottom w:type="dxa" w:w="80"/>
              <w:right w:type="dxa" w:w="120"/>
            </w:tcMar>
            <w:vAlign w:val="center"/>
          </w:tcPr>
          <w:p>
            <w:pPr>
              <w:jc w:val="center"/>
            </w:pPr>
            <w:r>
              <w:rPr>
                <w:rFonts w:ascii="Arial" w:cs="Arial" w:eastAsia="Arial" w:hAnsi="Arial"/>
                <w:b/>
                <w:bCs/>
                <w:color w:val="1A5C1A"/>
                <w:sz w:val="17"/>
                <w:szCs w:val="17"/>
              </w:rPr>
              <w:t xml:space="preserve">PASS</w:t>
            </w:r>
          </w:p>
        </w:tc>
        <w:tc>
          <w:tcPr>
            <w:tcW w:type="dxa" w:w="438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rate() guards: if weight_profile == WeightProfile.CUSTOM and custom_weights is None → raise ValueError. Prevents silent use of default weights when CUSTOM is requested.</w:t>
            </w:r>
          </w:p>
        </w:tc>
      </w:tr>
      <w:tr>
        <w:tc>
          <w:tcPr>
            <w:tcW w:type="dxa" w:w="8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VAL-26</w:t>
            </w:r>
          </w:p>
        </w:tc>
        <w:tc>
          <w:tcPr>
            <w:tcW w:type="dxa" w:w="28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All pillar and composite scores in [0, 100]</w:t>
            </w:r>
          </w:p>
        </w:tc>
        <w:tc>
          <w:tcPr>
            <w:tcW w:type="dxa" w:w="1400"/>
            <w:tcBorders>
              <w:top w:val="single" w:color="CCCCCC" w:sz="4"/>
              <w:left w:val="single" w:color="CCCCCC" w:sz="4"/>
              <w:bottom w:val="single" w:color="CCCCCC" w:sz="4"/>
              <w:right w:val="single" w:color="CCCCCC" w:sz="4"/>
            </w:tcBorders>
            <w:shd w:fill="D6F0D8" w:val="clear"/>
            <w:tcMar>
              <w:top w:type="dxa" w:w="80"/>
              <w:left w:type="dxa" w:w="120"/>
              <w:bottom w:type="dxa" w:w="80"/>
              <w:right w:type="dxa" w:w="120"/>
            </w:tcMar>
            <w:vAlign w:val="center"/>
          </w:tcPr>
          <w:p>
            <w:pPr>
              <w:jc w:val="center"/>
            </w:pPr>
            <w:r>
              <w:rPr>
                <w:rFonts w:ascii="Arial" w:cs="Arial" w:eastAsia="Arial" w:hAnsi="Arial"/>
                <w:b/>
                <w:bCs/>
                <w:color w:val="1A5C1A"/>
                <w:sz w:val="17"/>
                <w:szCs w:val="17"/>
              </w:rPr>
              <w:t xml:space="preserve">PASS</w:t>
            </w:r>
          </w:p>
        </w:tc>
        <w:tc>
          <w:tcPr>
            <w:tcW w:type="dxa" w:w="438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All scoring components use min(cap, ...) clamps. Physical: min(100, ...). Transition: min(50,...)+min(35,...)+min(15,...) = max 100. Financial: min(50,...)+min(30,...)+min(20,...) = max 100. Composite: weighted average of [0,100] values is always [0,100].</w:t>
            </w:r>
          </w:p>
        </w:tc>
      </w:tr>
      <w:tr>
        <w:tc>
          <w:tcPr>
            <w:tcW w:type="dxa" w:w="8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VAL-27</w:t>
            </w:r>
          </w:p>
        </w:tc>
        <w:tc>
          <w:tcPr>
            <w:tcW w:type="dxa" w:w="28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All scenarios produce exactly 25-year trajectory (2026–2050)</w:t>
            </w:r>
          </w:p>
        </w:tc>
        <w:tc>
          <w:tcPr>
            <w:tcW w:type="dxa" w:w="1400"/>
            <w:tcBorders>
              <w:top w:val="single" w:color="CCCCCC" w:sz="4"/>
              <w:left w:val="single" w:color="CCCCCC" w:sz="4"/>
              <w:bottom w:val="single" w:color="CCCCCC" w:sz="4"/>
              <w:right w:val="single" w:color="CCCCCC" w:sz="4"/>
            </w:tcBorders>
            <w:shd w:fill="D6F0D8" w:val="clear"/>
            <w:tcMar>
              <w:top w:type="dxa" w:w="80"/>
              <w:left w:type="dxa" w:w="120"/>
              <w:bottom w:type="dxa" w:w="80"/>
              <w:right w:type="dxa" w:w="120"/>
            </w:tcMar>
            <w:vAlign w:val="center"/>
          </w:tcPr>
          <w:p>
            <w:pPr>
              <w:jc w:val="center"/>
            </w:pPr>
            <w:r>
              <w:rPr>
                <w:rFonts w:ascii="Arial" w:cs="Arial" w:eastAsia="Arial" w:hAnsi="Arial"/>
                <w:b/>
                <w:bCs/>
                <w:color w:val="1A5C1A"/>
                <w:sz w:val="17"/>
                <w:szCs w:val="17"/>
              </w:rPr>
              <w:t xml:space="preserve">PASS</w:t>
            </w:r>
          </w:p>
        </w:tc>
        <w:tc>
          <w:tcPr>
            <w:tcW w:type="dxa" w:w="438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simulate() calls simulate_year() for range(start, end+1) where start=2026, end=2050. Produces exactly 25 elements. DCF requires this for NPV sum and terminal value calculation.</w:t>
            </w:r>
          </w:p>
        </w:tc>
      </w:tr>
    </w:tbl>
    <w:p>
      <w:r>
        <w:br w:type="page"/>
      </w:r>
    </w:p>
    <w:p>
      <w:pPr>
        <w:pStyle w:val="Heading1"/>
        <w:spacing w:after="120" w:before="360"/>
      </w:pPr>
      <w:r>
        <w:rPr>
          <w:rFonts w:ascii="Arial" w:cs="Arial" w:eastAsia="Arial" w:hAnsi="Arial"/>
          <w:b/>
          <w:bCs/>
          <w:color w:val="1A3C5E"/>
          <w:sz w:val="32"/>
          <w:szCs w:val="32"/>
        </w:rPr>
        <w:t xml:space="preserve">7. Model Issues Identified</w:t>
      </w:r>
    </w:p>
    <w:p>
      <w:pPr>
        <w:pBdr>
          <w:bottom w:val="single" w:color="2A8C7A" w:sz="6" w:space="1"/>
        </w:pBdr>
        <w:spacing w:after="120" w:before="120"/>
      </w:pPr>
      <w:r>
        <w:t xml:space="preserve"/>
      </w:r>
    </w:p>
    <w:p>
      <w:pPr>
        <w:spacing w:after="60" w:before="60"/>
      </w:pPr>
      <w:r>
        <w:rPr>
          <w:rFonts w:ascii="Arial" w:cs="Arial" w:eastAsia="Arial" w:hAnsi="Arial"/>
          <w:sz w:val="20"/>
          <w:szCs w:val="20"/>
        </w:rPr>
        <w:t xml:space="preserve">The following issues were identified through live test execution and code review. Four issues are listed in order of severity.</w:t>
      </w:r>
    </w:p>
    <w:p>
      <w:pPr>
        <w:spacing w:after="80" w:before="0"/>
      </w:pPr>
      <w:r>
        <w:t xml:space="preserve"/>
      </w:r>
    </w:p>
    <w:p>
      <w:pPr>
        <w:pStyle w:val="Heading2"/>
        <w:spacing w:after="80" w:before="240"/>
      </w:pPr>
      <w:r>
        <w:rPr>
          <w:rFonts w:ascii="Arial" w:cs="Arial" w:eastAsia="Arial" w:hAnsi="Arial"/>
          <w:b/>
          <w:bCs/>
          <w:color w:val="2A8C7A"/>
          <w:sz w:val="26"/>
          <w:szCs w:val="26"/>
        </w:rPr>
        <w:t xml:space="preserve">Issue 1: Physical Hazard Loss Magnitude Over-estimated ~30–43×  [CRITICAL]</w:t>
      </w:r>
    </w:p>
    <w:p>
      <w:pPr>
        <w:spacing w:after="60" w:before="60"/>
      </w:pPr>
      <w:r>
        <w:rPr>
          <w:rFonts w:ascii="Arial" w:cs="Arial" w:eastAsia="Arial" w:hAnsi="Arial"/>
          <w:sz w:val="20"/>
          <w:szCs w:val="20"/>
        </w:rPr>
        <w:t xml:space="preserve">Live test execution reveals that physical_loss_cost outputs are 30–43× higher than comparable real-world climate events:</w:t>
      </w:r>
    </w:p>
    <w:p>
      <w:pPr>
        <w:spacing w:after="40" w:before="40"/>
      </w:pPr>
      <w:r>
        <w:rPr>
          <w:rFonts w:ascii="Courier New" w:cs="Courier New" w:eastAsia="Courier New" w:hAnsi="Courier New"/>
          <w:color w:val="333333"/>
          <w:sz w:val="18"/>
          <w:szCs w:val="18"/>
        </w:rPr>
        <w:t xml:space="preserve">    BHP peak annual physical loss (CP): $4,562M  (ref: Cyclone Veronica ~$105M)
    Shell peak annual physical loss (CP): $9,405M  (ref: Texas freeze ~$250M)</w:t>
      </w:r>
    </w:p>
    <w:p>
      <w:pPr>
        <w:spacing w:after="60" w:before="60"/>
      </w:pPr>
      <w:r>
        <w:rPr>
          <w:rFonts w:ascii="Arial" w:cs="Arial" w:eastAsia="Arial" w:hAnsi="Arial"/>
          <w:sz w:val="20"/>
          <w:szCs w:val="20"/>
        </w:rPr>
        <w:t xml:space="preserve">Root cause: the hazard multipliers in the PhysicalHazardEngine translate loss_fraction × carrying_value into loss costs. If hazard intensities (derived from WRI Aqueduct regional paths) are calibrated to peak long-run climate scenarios rather than individual event probabilities, they will systematically over-state annual expected loss. The physical risk score (0–100) is internally consistent, but the absolute dollar figure is not reliable for financial disclosures.</w:t>
      </w:r>
    </w:p>
    <w:p>
      <w:pPr>
        <w:spacing w:after="80" w:before="0"/>
      </w:pPr>
      <w:r>
        <w:t xml:space="preserve"/>
      </w:r>
    </w:p>
    <w:p>
      <w:pPr>
        <w:spacing w:after="60" w:before="60"/>
      </w:pPr>
      <w:r>
        <w:rPr>
          <w:rFonts w:ascii="Arial" w:cs="Arial" w:eastAsia="Arial" w:hAnsi="Arial"/>
          <w:b/>
          <w:bCs/>
          <w:sz w:val="20"/>
          <w:szCs w:val="20"/>
        </w:rPr>
        <w:t xml:space="preserve">Severity: </w:t>
      </w:r>
      <w:r>
        <w:rPr>
          <w:rFonts w:ascii="Arial" w:cs="Arial" w:eastAsia="Arial" w:hAnsi="Arial"/>
          <w:sz w:val="20"/>
          <w:szCs w:val="20"/>
        </w:rPr>
        <w:t xml:space="preserve">Critical — any client using physical_loss_cost for financial disclosure (TCFD Quantitative, IFRS S2) will report grossly inflated numbers. Physical risk scores are affected proportionally.</w:t>
      </w:r>
    </w:p>
    <w:p>
      <w:pPr>
        <w:spacing w:after="60" w:before="60"/>
      </w:pPr>
      <w:r>
        <w:rPr>
          <w:rFonts w:ascii="Arial" w:cs="Arial" w:eastAsia="Arial" w:hAnsi="Arial"/>
          <w:b/>
          <w:bCs/>
          <w:sz w:val="20"/>
          <w:szCs w:val="20"/>
        </w:rPr>
        <w:t xml:space="preserve">Recommended Fix: </w:t>
      </w:r>
      <w:r>
        <w:rPr>
          <w:rFonts w:ascii="Arial" w:cs="Arial" w:eastAsia="Arial" w:hAnsi="Arial"/>
          <w:sz w:val="20"/>
          <w:szCs w:val="20"/>
        </w:rPr>
        <w:t xml:space="preserve">Calibrate hazard intensity multipliers against a set of at least 10 historical loss events across diverse regions and companies. Apply a correction factor and document the calibration basis. Add test VAL-12 / VAL-13 / VAL-14 as CI regression tests once calibration is complete.</w:t>
      </w:r>
    </w:p>
    <w:p>
      <w:pPr>
        <w:spacing w:after="80" w:before="0"/>
      </w:pPr>
      <w:r>
        <w:t xml:space="preserve"/>
      </w:r>
    </w:p>
    <w:p>
      <w:pPr>
        <w:pStyle w:val="Heading2"/>
        <w:spacing w:after="80" w:before="240"/>
      </w:pPr>
      <w:r>
        <w:rPr>
          <w:rFonts w:ascii="Arial" w:cs="Arial" w:eastAsia="Arial" w:hAnsi="Arial"/>
          <w:b/>
          <w:bCs/>
          <w:color w:val="2A8C7A"/>
          <w:sz w:val="26"/>
          <w:szCs w:val="26"/>
        </w:rPr>
        <w:t xml:space="preserve">Issue 2: WACC Uplift Term in Financial Score is Always Zero  [MEDIUM]</w:t>
      </w:r>
    </w:p>
    <w:p>
      <w:pPr>
        <w:spacing w:after="60" w:before="60"/>
      </w:pPr>
      <w:r>
        <w:rPr>
          <w:rFonts w:ascii="Arial" w:cs="Arial" w:eastAsia="Arial" w:hAnsi="Arial"/>
          <w:sz w:val="20"/>
          <w:szCs w:val="20"/>
        </w:rPr>
        <w:t xml:space="preserve">The financial score formula includes:</w:t>
      </w:r>
    </w:p>
    <w:p>
      <w:pPr>
        <w:spacing w:after="40" w:before="40"/>
      </w:pPr>
      <w:r>
        <w:rPr>
          <w:rFonts w:ascii="Courier New" w:cs="Courier New" w:eastAsia="Courier New" w:hAnsi="Courier New"/>
          <w:color w:val="333333"/>
          <w:sz w:val="18"/>
          <w:szCs w:val="18"/>
        </w:rPr>
        <w:t xml:space="preserve">    wacc_delta = max(0, nze.wacc_used - cp.wacc_used)</w:t>
      </w:r>
    </w:p>
    <w:p>
      <w:pPr>
        <w:spacing w:after="60" w:before="60"/>
      </w:pPr>
      <w:r>
        <w:rPr>
          <w:rFonts w:ascii="Arial" w:cs="Arial" w:eastAsia="Arial" w:hAnsi="Arial"/>
          <w:sz w:val="20"/>
          <w:szCs w:val="20"/>
        </w:rPr>
        <w:t xml:space="preserve">Because NZE has risk_premium_bps=50 and CP has risk_premium_bps=100, NZE WACC is always lower than CP WACC. The max(0, ...) clamp makes this term zero for all companies under all conditions. The WACC uplift contribution to financial risk is therefore never captured.</w:t>
      </w:r>
    </w:p>
    <w:p>
      <w:pPr>
        <w:spacing w:after="80" w:before="0"/>
      </w:pPr>
      <w:r>
        <w:t xml:space="preserve"/>
      </w:r>
    </w:p>
    <w:p>
      <w:pPr>
        <w:spacing w:after="60" w:before="60"/>
      </w:pPr>
      <w:r>
        <w:rPr>
          <w:rFonts w:ascii="Arial" w:cs="Arial" w:eastAsia="Arial" w:hAnsi="Arial"/>
          <w:b/>
          <w:bCs/>
          <w:sz w:val="20"/>
          <w:szCs w:val="20"/>
        </w:rPr>
        <w:t xml:space="preserve">Severity: </w:t>
      </w:r>
      <w:r>
        <w:rPr>
          <w:rFonts w:ascii="Arial" w:cs="Arial" w:eastAsia="Arial" w:hAnsi="Arial"/>
          <w:sz w:val="20"/>
          <w:szCs w:val="20"/>
        </w:rPr>
        <w:t xml:space="preserve">Medium — the financial score still differentiates companies via EV at risk and equity at risk. The missing WACC term would add at most 30 points (max), so rankings are preserved but scores are understated for highly WACC-exposed companies.</w:t>
      </w:r>
    </w:p>
    <w:p>
      <w:pPr>
        <w:spacing w:after="60" w:before="60"/>
      </w:pPr>
      <w:r>
        <w:rPr>
          <w:rFonts w:ascii="Arial" w:cs="Arial" w:eastAsia="Arial" w:hAnsi="Arial"/>
          <w:b/>
          <w:bCs/>
          <w:sz w:val="20"/>
          <w:szCs w:val="20"/>
        </w:rPr>
        <w:t xml:space="preserve">Recommended Fix: </w:t>
      </w:r>
      <w:r>
        <w:rPr>
          <w:rFonts w:ascii="Arial" w:cs="Arial" w:eastAsia="Arial" w:hAnsi="Arial"/>
          <w:sz w:val="20"/>
          <w:szCs w:val="20"/>
        </w:rPr>
        <w:t xml:space="preserve">Replace nze.wacc_used - cp.wacc_used with dt.wacc_used - nze.wacc_used. The DT scenario has the highest risk premium (150bps), making DT vs. NZE the correct stress case for WACC uplift.</w:t>
      </w:r>
    </w:p>
    <w:p>
      <w:pPr>
        <w:spacing w:after="80" w:before="0"/>
      </w:pPr>
      <w:r>
        <w:t xml:space="preserve"/>
      </w:r>
    </w:p>
    <w:p>
      <w:pPr>
        <w:pStyle w:val="Heading2"/>
        <w:spacing w:after="80" w:before="240"/>
      </w:pPr>
      <w:r>
        <w:rPr>
          <w:rFonts w:ascii="Arial" w:cs="Arial" w:eastAsia="Arial" w:hAnsi="Arial"/>
          <w:b/>
          <w:bCs/>
          <w:color w:val="2A8C7A"/>
          <w:sz w:val="26"/>
          <w:szCs w:val="26"/>
        </w:rPr>
        <w:t xml:space="preserve">Issue 3: EBITDA Compression Cap Loses Differentiation at High End  [LOW]</w:t>
      </w:r>
    </w:p>
    <w:p>
      <w:pPr>
        <w:spacing w:after="60" w:before="60"/>
      </w:pPr>
      <w:r>
        <w:rPr>
          <w:rFonts w:ascii="Arial" w:cs="Arial" w:eastAsia="Arial" w:hAnsi="Arial"/>
          <w:sz w:val="20"/>
          <w:szCs w:val="20"/>
        </w:rPr>
        <w:t xml:space="preserve">The compress_pts term is capped at 35:</w:t>
      </w:r>
    </w:p>
    <w:p>
      <w:pPr>
        <w:spacing w:after="40" w:before="40"/>
      </w:pPr>
      <w:r>
        <w:rPr>
          <w:rFonts w:ascii="Courier New" w:cs="Courier New" w:eastAsia="Courier New" w:hAnsi="Courier New"/>
          <w:color w:val="333333"/>
          <w:sz w:val="18"/>
          <w:szCs w:val="18"/>
        </w:rPr>
        <w:t xml:space="preserve">    compress_pts = min(35.0, compress_frac * 175.0)</w:t>
      </w:r>
    </w:p>
    <w:p>
      <w:pPr>
        <w:spacing w:after="60" w:before="60"/>
      </w:pPr>
      <w:r>
        <w:rPr>
          <w:rFonts w:ascii="Arial" w:cs="Arial" w:eastAsia="Arial" w:hAnsi="Arial"/>
          <w:sz w:val="20"/>
          <w:szCs w:val="20"/>
        </w:rPr>
        <w:t xml:space="preserve">For Shell (analytically: ~35% EBITDA drop as % of revenue → 61 pts before cap) and BHP (analytically: ~20% → 35 pts before cap), both hit the 35-point cap. A company with 20% EBITDA compression appears identical to Shell with 35%+ compression. The cap prevents the scoring from distinguishing between bad and catastrophic EBITDA scenarios.</w:t>
      </w:r>
    </w:p>
    <w:p>
      <w:pPr>
        <w:spacing w:after="80" w:before="0"/>
      </w:pPr>
      <w:r>
        <w:t xml:space="preserve"/>
      </w:r>
    </w:p>
    <w:p>
      <w:pPr>
        <w:spacing w:after="60" w:before="60"/>
      </w:pPr>
      <w:r>
        <w:rPr>
          <w:rFonts w:ascii="Arial" w:cs="Arial" w:eastAsia="Arial" w:hAnsi="Arial"/>
          <w:b/>
          <w:bCs/>
          <w:sz w:val="20"/>
          <w:szCs w:val="20"/>
        </w:rPr>
        <w:t xml:space="preserve">Recommended Fix: </w:t>
      </w:r>
      <w:r>
        <w:rPr>
          <w:rFonts w:ascii="Arial" w:cs="Arial" w:eastAsia="Arial" w:hAnsi="Arial"/>
          <w:sz w:val="20"/>
          <w:szCs w:val="20"/>
        </w:rPr>
        <w:t xml:space="preserve">Raise the cap to 50 pts, or apply a concave scaling function (e.g., sqrt-based) so the score continues to differentiate at higher compression levels without artificially capping.</w:t>
      </w:r>
    </w:p>
    <w:p>
      <w:pPr>
        <w:spacing w:after="80" w:before="0"/>
      </w:pPr>
      <w:r>
        <w:t xml:space="preserve"/>
      </w:r>
    </w:p>
    <w:p>
      <w:pPr>
        <w:pStyle w:val="Heading2"/>
        <w:spacing w:after="80" w:before="240"/>
      </w:pPr>
      <w:r>
        <w:rPr>
          <w:rFonts w:ascii="Arial" w:cs="Arial" w:eastAsia="Arial" w:hAnsi="Arial"/>
          <w:b/>
          <w:bCs/>
          <w:color w:val="2A8C7A"/>
          <w:sz w:val="26"/>
          <w:szCs w:val="26"/>
        </w:rPr>
        <w:t xml:space="preserve">Issue 4: LNG Australia Price Unit  [LOW / DOCUMENTATION]</w:t>
      </w:r>
    </w:p>
    <w:p>
      <w:pPr>
        <w:spacing w:after="60" w:before="60"/>
      </w:pPr>
      <w:r>
        <w:rPr>
          <w:rFonts w:ascii="Arial" w:cs="Arial" w:eastAsia="Arial" w:hAnsi="Arial"/>
          <w:sz w:val="20"/>
          <w:szCs w:val="20"/>
        </w:rPr>
        <w:t xml:space="preserve">The Shell LNG Australia asset has baseline_unit_cost = $2.0 and corresponds to price paths in the range $2.2–$4.2 in the scenario files. These values appear to be denominated in $/GJ or $/MMBTU rather than $/tonne of LNG (market price is ~$250–$500/tonne in 2024–2026).</w:t>
      </w:r>
    </w:p>
    <w:p>
      <w:pPr>
        <w:spacing w:after="80" w:before="0"/>
      </w:pPr>
      <w:r>
        <w:t xml:space="preserve"/>
      </w:r>
    </w:p>
    <w:p>
      <w:pPr>
        <w:spacing w:after="60" w:before="60"/>
      </w:pPr>
      <w:r>
        <w:rPr>
          <w:rFonts w:ascii="Arial" w:cs="Arial" w:eastAsia="Arial" w:hAnsi="Arial"/>
          <w:sz w:val="20"/>
          <w:szCs w:val="20"/>
        </w:rPr>
        <w:t xml:space="preserve">The model is internally consistent — revenue and opex both use the same price/cost denomination — so margins and DCF outputs are valid. However, comparing the model's revenue output for Shell LNG ($3.5–4.2B at this denomination) against Shell's actual LNG revenue (~$30–35B/year) requires a unit conversion that is not documented in the code.</w:t>
      </w:r>
    </w:p>
    <w:p>
      <w:pPr>
        <w:spacing w:after="80" w:before="0"/>
      </w:pPr>
      <w:r>
        <w:t xml:space="preserve"/>
      </w:r>
    </w:p>
    <w:p>
      <w:pPr>
        <w:spacing w:after="60" w:before="60"/>
      </w:pPr>
      <w:r>
        <w:rPr>
          <w:rFonts w:ascii="Arial" w:cs="Arial" w:eastAsia="Arial" w:hAnsi="Arial"/>
          <w:b/>
          <w:bCs/>
          <w:sz w:val="20"/>
          <w:szCs w:val="20"/>
        </w:rPr>
        <w:t xml:space="preserve">Recommended Fix: </w:t>
      </w:r>
      <w:r>
        <w:rPr>
          <w:rFonts w:ascii="Arial" w:cs="Arial" w:eastAsia="Arial" w:hAnsi="Arial"/>
          <w:sz w:val="20"/>
          <w:szCs w:val="20"/>
        </w:rPr>
        <w:t xml:space="preserve">Add a comment to the LNG Australia asset definition clarifying the price unit. Consider normalising all asset prices to USD/tonne for consistency with iron ore, copper, and coal assets.</w:t>
      </w:r>
    </w:p>
    <w:p>
      <w:pPr>
        <w:spacing w:after="80" w:before="0"/>
      </w:pPr>
      <w:r>
        <w:t xml:space="preserve"/>
      </w:r>
    </w:p>
    <w:p>
      <w:pPr>
        <w:pStyle w:val="Heading2"/>
        <w:spacing w:after="80" w:before="240"/>
      </w:pPr>
      <w:r>
        <w:rPr>
          <w:rFonts w:ascii="Arial" w:cs="Arial" w:eastAsia="Arial" w:hAnsi="Arial"/>
          <w:b/>
          <w:bCs/>
          <w:color w:val="2A8C7A"/>
          <w:sz w:val="26"/>
          <w:szCs w:val="26"/>
        </w:rPr>
        <w:t xml:space="preserve">Issue 5: VAL-05 Test Had Inverted Logic  [CORRECTED]</w:t>
      </w:r>
    </w:p>
    <w:p>
      <w:pPr>
        <w:spacing w:after="60" w:before="60"/>
      </w:pPr>
      <w:r>
        <w:rPr>
          <w:rFonts w:ascii="Arial" w:cs="Arial" w:eastAsia="Arial" w:hAnsi="Arial"/>
          <w:sz w:val="20"/>
          <w:szCs w:val="20"/>
        </w:rPr>
        <w:t xml:space="preserve">The original test asserted nze.wacc_used &gt;= cp.wacc_used, which is the opposite of the model's correct behaviour. The test logic was corrected in validation study v1.0 to assert dt.wacc_used &gt; cp.wacc_used &gt; nze.wacc_used, which matches the scenario risk premium design.</w:t>
      </w:r>
    </w:p>
    <w:p>
      <w:pPr>
        <w:spacing w:after="80" w:before="0"/>
      </w:pPr>
      <w:r>
        <w:t xml:space="preserve"/>
      </w:r>
    </w:p>
    <w:p>
      <w:pPr>
        <w:spacing w:after="60" w:before="60"/>
      </w:pPr>
      <w:r>
        <w:rPr>
          <w:rFonts w:ascii="Arial" w:cs="Arial" w:eastAsia="Arial" w:hAnsi="Arial"/>
          <w:b/>
          <w:bCs/>
          <w:sz w:val="20"/>
          <w:szCs w:val="20"/>
        </w:rPr>
        <w:t xml:space="preserve">Status: </w:t>
      </w:r>
      <w:r>
        <w:rPr>
          <w:rFonts w:ascii="Arial" w:cs="Arial" w:eastAsia="Arial" w:hAnsi="Arial"/>
          <w:sz w:val="20"/>
          <w:szCs w:val="20"/>
        </w:rPr>
        <w:t xml:space="preserve">Corrected in tests/test_validation.py. No model change required.</w:t>
      </w:r>
    </w:p>
    <w:p>
      <w:r>
        <w:br w:type="page"/>
      </w:r>
    </w:p>
    <w:p>
      <w:pPr>
        <w:pStyle w:val="Heading1"/>
        <w:spacing w:after="120" w:before="360"/>
      </w:pPr>
      <w:r>
        <w:rPr>
          <w:rFonts w:ascii="Arial" w:cs="Arial" w:eastAsia="Arial" w:hAnsi="Arial"/>
          <w:b/>
          <w:bCs/>
          <w:color w:val="1A3C5E"/>
          <w:sz w:val="32"/>
          <w:szCs w:val="32"/>
        </w:rPr>
        <w:t xml:space="preserve">8. Summary &amp; Recommendations</w:t>
      </w:r>
    </w:p>
    <w:p>
      <w:pPr>
        <w:pBdr>
          <w:bottom w:val="single" w:color="2A8C7A" w:sz="6" w:space="1"/>
        </w:pBdr>
        <w:spacing w:after="120" w:before="120"/>
      </w:pPr>
      <w:r>
        <w:t xml:space="preserve"/>
      </w:r>
    </w:p>
    <w:p>
      <w:pPr>
        <w:pStyle w:val="Heading2"/>
        <w:spacing w:after="80" w:before="240"/>
      </w:pPr>
      <w:r>
        <w:rPr>
          <w:rFonts w:ascii="Arial" w:cs="Arial" w:eastAsia="Arial" w:hAnsi="Arial"/>
          <w:b/>
          <w:bCs/>
          <w:color w:val="2A8C7A"/>
          <w:sz w:val="26"/>
          <w:szCs w:val="26"/>
        </w:rPr>
        <w:t xml:space="preserve">8.1 Test Results Summary</w:t>
      </w:r>
    </w:p>
    <w:tbl>
      <w:tblPr>
        <w:tblW w:type="dxa" w:w="9386"/>
        <w:tblBorders>
          <w:top w:val="single" w:color="auto" w:sz="4"/>
          <w:left w:val="single" w:color="auto" w:sz="4"/>
          <w:bottom w:val="single" w:color="auto" w:sz="4"/>
          <w:right w:val="single" w:color="auto" w:sz="4"/>
          <w:insideH w:val="single" w:color="auto" w:sz="4"/>
          <w:insideV w:val="single" w:color="auto" w:sz="4"/>
        </w:tblBorders>
      </w:tblPr>
      <w:tblGrid>
        <w:gridCol w:w="800"/>
        <w:gridCol w:w="3600"/>
        <w:gridCol w:w="1400"/>
        <w:gridCol w:w="3586"/>
      </w:tblGrid>
      <w:tr>
        <w:tc>
          <w:tcPr>
            <w:tcW w:type="dxa" w:w="800"/>
            <w:tcBorders>
              <w:top w:val="single" w:color="1A3C5E" w:sz="6"/>
              <w:left w:val="single" w:color="1A3C5E" w:sz="6"/>
              <w:bottom w:val="single" w:color="1A3C5E" w:sz="6"/>
              <w:right w:val="single" w:color="1A3C5E" w:sz="6"/>
            </w:tcBorders>
            <w:shd w:fill="1A3C5E"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ID</w:t>
            </w:r>
          </w:p>
        </w:tc>
        <w:tc>
          <w:tcPr>
            <w:tcW w:type="dxa" w:w="3600"/>
            <w:tcBorders>
              <w:top w:val="single" w:color="1A3C5E" w:sz="6"/>
              <w:left w:val="single" w:color="1A3C5E" w:sz="6"/>
              <w:bottom w:val="single" w:color="1A3C5E" w:sz="6"/>
              <w:right w:val="single" w:color="1A3C5E" w:sz="6"/>
            </w:tcBorders>
            <w:shd w:fill="1A3C5E"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Test Name</w:t>
            </w:r>
          </w:p>
        </w:tc>
        <w:tc>
          <w:tcPr>
            <w:tcW w:type="dxa" w:w="1400"/>
            <w:tcBorders>
              <w:top w:val="single" w:color="1A3C5E" w:sz="6"/>
              <w:left w:val="single" w:color="1A3C5E" w:sz="6"/>
              <w:bottom w:val="single" w:color="1A3C5E" w:sz="6"/>
              <w:right w:val="single" w:color="1A3C5E" w:sz="6"/>
            </w:tcBorders>
            <w:shd w:fill="1A3C5E"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Verdict</w:t>
            </w:r>
          </w:p>
        </w:tc>
        <w:tc>
          <w:tcPr>
            <w:tcW w:type="dxa" w:w="3586"/>
            <w:tcBorders>
              <w:top w:val="single" w:color="1A3C5E" w:sz="6"/>
              <w:left w:val="single" w:color="1A3C5E" w:sz="6"/>
              <w:bottom w:val="single" w:color="1A3C5E" w:sz="6"/>
              <w:right w:val="single" w:color="1A3C5E" w:sz="6"/>
            </w:tcBorders>
            <w:shd w:fill="1A3C5E"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Action Required</w:t>
            </w:r>
          </w:p>
        </w:tc>
      </w:tr>
      <w:tr>
        <w:tc>
          <w:tcPr>
            <w:tcW w:type="dxa" w:w="8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bCs/>
                <w:color w:val="000000"/>
                <w:sz w:val="17"/>
                <w:szCs w:val="17"/>
              </w:rPr>
              <w:t xml:space="preserve">VAL-01</w:t>
            </w:r>
          </w:p>
        </w:tc>
        <w:tc>
          <w:tcPr>
            <w:tcW w:type="dxa" w:w="36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CP physical loss &gt; NZE</w:t>
            </w:r>
          </w:p>
        </w:tc>
        <w:tc>
          <w:tcPr>
            <w:tcW w:type="dxa" w:w="1400"/>
            <w:tcBorders>
              <w:top w:val="single" w:color="CCCCCC" w:sz="4"/>
              <w:left w:val="single" w:color="CCCCCC" w:sz="4"/>
              <w:bottom w:val="single" w:color="CCCCCC" w:sz="4"/>
              <w:right w:val="single" w:color="CCCCCC" w:sz="4"/>
            </w:tcBorders>
            <w:shd w:fill="D6F0D8" w:val="clear"/>
            <w:tcMar>
              <w:top w:type="dxa" w:w="80"/>
              <w:left w:type="dxa" w:w="120"/>
              <w:bottom w:type="dxa" w:w="80"/>
              <w:right w:type="dxa" w:w="120"/>
            </w:tcMar>
            <w:vAlign w:val="center"/>
          </w:tcPr>
          <w:p>
            <w:pPr>
              <w:jc w:val="center"/>
            </w:pPr>
            <w:r>
              <w:rPr>
                <w:rFonts w:ascii="Arial" w:cs="Arial" w:eastAsia="Arial" w:hAnsi="Arial"/>
                <w:b/>
                <w:bCs/>
                <w:color w:val="1A5C1A"/>
                <w:sz w:val="17"/>
                <w:szCs w:val="17"/>
              </w:rPr>
              <w:t xml:space="preserve">PASS</w:t>
            </w:r>
          </w:p>
        </w:tc>
        <w:tc>
          <w:tcPr>
            <w:tcW w:type="dxa" w:w="358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None</w:t>
            </w:r>
          </w:p>
        </w:tc>
      </w:tr>
      <w:tr>
        <w:tc>
          <w:tcPr>
            <w:tcW w:type="dxa" w:w="8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bCs/>
                <w:color w:val="000000"/>
                <w:sz w:val="17"/>
                <w:szCs w:val="17"/>
              </w:rPr>
              <w:t xml:space="preserve">VAL-02</w:t>
            </w:r>
          </w:p>
        </w:tc>
        <w:tc>
          <w:tcPr>
            <w:tcW w:type="dxa" w:w="36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NZE carbon cost &gt; CP at 2040</w:t>
            </w:r>
          </w:p>
        </w:tc>
        <w:tc>
          <w:tcPr>
            <w:tcW w:type="dxa" w:w="1400"/>
            <w:tcBorders>
              <w:top w:val="single" w:color="CCCCCC" w:sz="4"/>
              <w:left w:val="single" w:color="CCCCCC" w:sz="4"/>
              <w:bottom w:val="single" w:color="CCCCCC" w:sz="4"/>
              <w:right w:val="single" w:color="CCCCCC" w:sz="4"/>
            </w:tcBorders>
            <w:shd w:fill="D6F0D8" w:val="clear"/>
            <w:tcMar>
              <w:top w:type="dxa" w:w="80"/>
              <w:left w:type="dxa" w:w="120"/>
              <w:bottom w:type="dxa" w:w="80"/>
              <w:right w:type="dxa" w:w="120"/>
            </w:tcMar>
            <w:vAlign w:val="center"/>
          </w:tcPr>
          <w:p>
            <w:pPr>
              <w:jc w:val="center"/>
            </w:pPr>
            <w:r>
              <w:rPr>
                <w:rFonts w:ascii="Arial" w:cs="Arial" w:eastAsia="Arial" w:hAnsi="Arial"/>
                <w:b/>
                <w:bCs/>
                <w:color w:val="1A5C1A"/>
                <w:sz w:val="17"/>
                <w:szCs w:val="17"/>
              </w:rPr>
              <w:t xml:space="preserve">PASS</w:t>
            </w:r>
          </w:p>
        </w:tc>
        <w:tc>
          <w:tcPr>
            <w:tcW w:type="dxa" w:w="358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None</w:t>
            </w:r>
          </w:p>
        </w:tc>
      </w:tr>
      <w:tr>
        <w:tc>
          <w:tcPr>
            <w:tcW w:type="dxa" w:w="8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bCs/>
                <w:color w:val="000000"/>
                <w:sz w:val="17"/>
                <w:szCs w:val="17"/>
              </w:rPr>
              <w:t xml:space="preserve">VAL-03</w:t>
            </w:r>
          </w:p>
        </w:tc>
        <w:tc>
          <w:tcPr>
            <w:tcW w:type="dxa" w:w="36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DT physical loss between NZE and CP</w:t>
            </w:r>
          </w:p>
        </w:tc>
        <w:tc>
          <w:tcPr>
            <w:tcW w:type="dxa" w:w="1400"/>
            <w:tcBorders>
              <w:top w:val="single" w:color="CCCCCC" w:sz="4"/>
              <w:left w:val="single" w:color="CCCCCC" w:sz="4"/>
              <w:bottom w:val="single" w:color="CCCCCC" w:sz="4"/>
              <w:right w:val="single" w:color="CCCCCC" w:sz="4"/>
            </w:tcBorders>
            <w:shd w:fill="D6F0D8" w:val="clear"/>
            <w:tcMar>
              <w:top w:type="dxa" w:w="80"/>
              <w:left w:type="dxa" w:w="120"/>
              <w:bottom w:type="dxa" w:w="80"/>
              <w:right w:type="dxa" w:w="120"/>
            </w:tcMar>
            <w:vAlign w:val="center"/>
          </w:tcPr>
          <w:p>
            <w:pPr>
              <w:jc w:val="center"/>
            </w:pPr>
            <w:r>
              <w:rPr>
                <w:rFonts w:ascii="Arial" w:cs="Arial" w:eastAsia="Arial" w:hAnsi="Arial"/>
                <w:b/>
                <w:bCs/>
                <w:color w:val="1A5C1A"/>
                <w:sz w:val="17"/>
                <w:szCs w:val="17"/>
              </w:rPr>
              <w:t xml:space="preserve">PASS</w:t>
            </w:r>
          </w:p>
        </w:tc>
        <w:tc>
          <w:tcPr>
            <w:tcW w:type="dxa" w:w="358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None</w:t>
            </w:r>
          </w:p>
        </w:tc>
      </w:tr>
      <w:tr>
        <w:tc>
          <w:tcPr>
            <w:tcW w:type="dxa" w:w="8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bCs/>
                <w:color w:val="000000"/>
                <w:sz w:val="17"/>
                <w:szCs w:val="17"/>
              </w:rPr>
              <w:t xml:space="preserve">VAL-04</w:t>
            </w:r>
          </w:p>
        </w:tc>
        <w:tc>
          <w:tcPr>
            <w:tcW w:type="dxa" w:w="36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NZE enterprise value &lt; CP (Shell, BHP)</w:t>
            </w:r>
          </w:p>
        </w:tc>
        <w:tc>
          <w:tcPr>
            <w:tcW w:type="dxa" w:w="1400"/>
            <w:tcBorders>
              <w:top w:val="single" w:color="CCCCCC" w:sz="4"/>
              <w:left w:val="single" w:color="CCCCCC" w:sz="4"/>
              <w:bottom w:val="single" w:color="CCCCCC" w:sz="4"/>
              <w:right w:val="single" w:color="CCCCCC" w:sz="4"/>
            </w:tcBorders>
            <w:shd w:fill="D6F0D8" w:val="clear"/>
            <w:tcMar>
              <w:top w:type="dxa" w:w="80"/>
              <w:left w:type="dxa" w:w="120"/>
              <w:bottom w:type="dxa" w:w="80"/>
              <w:right w:type="dxa" w:w="120"/>
            </w:tcMar>
            <w:vAlign w:val="center"/>
          </w:tcPr>
          <w:p>
            <w:pPr>
              <w:jc w:val="center"/>
            </w:pPr>
            <w:r>
              <w:rPr>
                <w:rFonts w:ascii="Arial" w:cs="Arial" w:eastAsia="Arial" w:hAnsi="Arial"/>
                <w:b/>
                <w:bCs/>
                <w:color w:val="1A5C1A"/>
                <w:sz w:val="17"/>
                <w:szCs w:val="17"/>
              </w:rPr>
              <w:t xml:space="preserve">PASS</w:t>
            </w:r>
          </w:p>
        </w:tc>
        <w:tc>
          <w:tcPr>
            <w:tcW w:type="dxa" w:w="358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None</w:t>
            </w:r>
          </w:p>
        </w:tc>
      </w:tr>
      <w:tr>
        <w:tc>
          <w:tcPr>
            <w:tcW w:type="dxa" w:w="8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bCs/>
                <w:color w:val="000000"/>
                <w:sz w:val="17"/>
                <w:szCs w:val="17"/>
              </w:rPr>
              <w:t xml:space="preserve">VAL-05</w:t>
            </w:r>
          </w:p>
        </w:tc>
        <w:tc>
          <w:tcPr>
            <w:tcW w:type="dxa" w:w="36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WACC order: DT &gt; CP &gt; NZE</w:t>
            </w:r>
          </w:p>
        </w:tc>
        <w:tc>
          <w:tcPr>
            <w:tcW w:type="dxa" w:w="1400"/>
            <w:tcBorders>
              <w:top w:val="single" w:color="CCCCCC" w:sz="4"/>
              <w:left w:val="single" w:color="CCCCCC" w:sz="4"/>
              <w:bottom w:val="single" w:color="CCCCCC" w:sz="4"/>
              <w:right w:val="single" w:color="CCCCCC" w:sz="4"/>
            </w:tcBorders>
            <w:shd w:fill="D6F0D8" w:val="clear"/>
            <w:tcMar>
              <w:top w:type="dxa" w:w="80"/>
              <w:left w:type="dxa" w:w="120"/>
              <w:bottom w:type="dxa" w:w="80"/>
              <w:right w:type="dxa" w:w="120"/>
            </w:tcMar>
            <w:vAlign w:val="center"/>
          </w:tcPr>
          <w:p>
            <w:pPr>
              <w:jc w:val="center"/>
            </w:pPr>
            <w:r>
              <w:rPr>
                <w:rFonts w:ascii="Arial" w:cs="Arial" w:eastAsia="Arial" w:hAnsi="Arial"/>
                <w:b/>
                <w:bCs/>
                <w:color w:val="1A5C1A"/>
                <w:sz w:val="17"/>
                <w:szCs w:val="17"/>
              </w:rPr>
              <w:t xml:space="preserve">PASS</w:t>
            </w:r>
          </w:p>
        </w:tc>
        <w:tc>
          <w:tcPr>
            <w:tcW w:type="dxa" w:w="358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Test corrected from original inverted logic</w:t>
            </w:r>
          </w:p>
        </w:tc>
      </w:tr>
      <w:tr>
        <w:tc>
          <w:tcPr>
            <w:tcW w:type="dxa" w:w="8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bCs/>
                <w:color w:val="000000"/>
                <w:sz w:val="17"/>
                <w:szCs w:val="17"/>
              </w:rPr>
              <w:t xml:space="preserve">VAL-06</w:t>
            </w:r>
          </w:p>
        </w:tc>
        <w:tc>
          <w:tcPr>
            <w:tcW w:type="dxa" w:w="36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EBITDA worsens 2030→2040 under NZE</w:t>
            </w:r>
          </w:p>
        </w:tc>
        <w:tc>
          <w:tcPr>
            <w:tcW w:type="dxa" w:w="1400"/>
            <w:tcBorders>
              <w:top w:val="single" w:color="CCCCCC" w:sz="4"/>
              <w:left w:val="single" w:color="CCCCCC" w:sz="4"/>
              <w:bottom w:val="single" w:color="CCCCCC" w:sz="4"/>
              <w:right w:val="single" w:color="CCCCCC" w:sz="4"/>
            </w:tcBorders>
            <w:shd w:fill="D6F0D8" w:val="clear"/>
            <w:tcMar>
              <w:top w:type="dxa" w:w="80"/>
              <w:left w:type="dxa" w:w="120"/>
              <w:bottom w:type="dxa" w:w="80"/>
              <w:right w:type="dxa" w:w="120"/>
            </w:tcMar>
            <w:vAlign w:val="center"/>
          </w:tcPr>
          <w:p>
            <w:pPr>
              <w:jc w:val="center"/>
            </w:pPr>
            <w:r>
              <w:rPr>
                <w:rFonts w:ascii="Arial" w:cs="Arial" w:eastAsia="Arial" w:hAnsi="Arial"/>
                <w:b/>
                <w:bCs/>
                <w:color w:val="1A5C1A"/>
                <w:sz w:val="17"/>
                <w:szCs w:val="17"/>
              </w:rPr>
              <w:t xml:space="preserve">PASS</w:t>
            </w:r>
          </w:p>
        </w:tc>
        <w:tc>
          <w:tcPr>
            <w:tcW w:type="dxa" w:w="358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None</w:t>
            </w:r>
          </w:p>
        </w:tc>
      </w:tr>
      <w:tr>
        <w:tc>
          <w:tcPr>
            <w:tcW w:type="dxa" w:w="8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bCs/>
                <w:color w:val="000000"/>
                <w:sz w:val="17"/>
                <w:szCs w:val="17"/>
              </w:rPr>
              <w:t xml:space="preserve">VAL-07</w:t>
            </w:r>
          </w:p>
        </w:tc>
        <w:tc>
          <w:tcPr>
            <w:tcW w:type="dxa" w:w="36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Shell T score &gt; BHP T score</w:t>
            </w:r>
          </w:p>
        </w:tc>
        <w:tc>
          <w:tcPr>
            <w:tcW w:type="dxa" w:w="1400"/>
            <w:tcBorders>
              <w:top w:val="single" w:color="CCCCCC" w:sz="4"/>
              <w:left w:val="single" w:color="CCCCCC" w:sz="4"/>
              <w:bottom w:val="single" w:color="CCCCCC" w:sz="4"/>
              <w:right w:val="single" w:color="CCCCCC" w:sz="4"/>
            </w:tcBorders>
            <w:shd w:fill="D6F0D8" w:val="clear"/>
            <w:tcMar>
              <w:top w:type="dxa" w:w="80"/>
              <w:left w:type="dxa" w:w="120"/>
              <w:bottom w:type="dxa" w:w="80"/>
              <w:right w:type="dxa" w:w="120"/>
            </w:tcMar>
            <w:vAlign w:val="center"/>
          </w:tcPr>
          <w:p>
            <w:pPr>
              <w:jc w:val="center"/>
            </w:pPr>
            <w:r>
              <w:rPr>
                <w:rFonts w:ascii="Arial" w:cs="Arial" w:eastAsia="Arial" w:hAnsi="Arial"/>
                <w:b/>
                <w:bCs/>
                <w:color w:val="1A5C1A"/>
                <w:sz w:val="17"/>
                <w:szCs w:val="17"/>
              </w:rPr>
              <w:t xml:space="preserve">PASS</w:t>
            </w:r>
          </w:p>
        </w:tc>
        <w:tc>
          <w:tcPr>
            <w:tcW w:type="dxa" w:w="358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None</w:t>
            </w:r>
          </w:p>
        </w:tc>
      </w:tr>
      <w:tr>
        <w:tc>
          <w:tcPr>
            <w:tcW w:type="dxa" w:w="8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bCs/>
                <w:color w:val="000000"/>
                <w:sz w:val="17"/>
                <w:szCs w:val="17"/>
              </w:rPr>
              <w:t xml:space="preserve">VAL-08</w:t>
            </w:r>
          </w:p>
        </w:tc>
        <w:tc>
          <w:tcPr>
            <w:tcW w:type="dxa" w:w="36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Shell F score &gt; Rio F score</w:t>
            </w:r>
          </w:p>
        </w:tc>
        <w:tc>
          <w:tcPr>
            <w:tcW w:type="dxa" w:w="1400"/>
            <w:tcBorders>
              <w:top w:val="single" w:color="CCCCCC" w:sz="4"/>
              <w:left w:val="single" w:color="CCCCCC" w:sz="4"/>
              <w:bottom w:val="single" w:color="CCCCCC" w:sz="4"/>
              <w:right w:val="single" w:color="CCCCCC" w:sz="4"/>
            </w:tcBorders>
            <w:shd w:fill="D6F0D8" w:val="clear"/>
            <w:tcMar>
              <w:top w:type="dxa" w:w="80"/>
              <w:left w:type="dxa" w:w="120"/>
              <w:bottom w:type="dxa" w:w="80"/>
              <w:right w:type="dxa" w:w="120"/>
            </w:tcMar>
            <w:vAlign w:val="center"/>
          </w:tcPr>
          <w:p>
            <w:pPr>
              <w:jc w:val="center"/>
            </w:pPr>
            <w:r>
              <w:rPr>
                <w:rFonts w:ascii="Arial" w:cs="Arial" w:eastAsia="Arial" w:hAnsi="Arial"/>
                <w:b/>
                <w:bCs/>
                <w:color w:val="1A5C1A"/>
                <w:sz w:val="17"/>
                <w:szCs w:val="17"/>
              </w:rPr>
              <w:t xml:space="preserve">PASS</w:t>
            </w:r>
          </w:p>
        </w:tc>
        <w:tc>
          <w:tcPr>
            <w:tcW w:type="dxa" w:w="358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None</w:t>
            </w:r>
          </w:p>
        </w:tc>
      </w:tr>
      <w:tr>
        <w:tc>
          <w:tcPr>
            <w:tcW w:type="dxa" w:w="8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bCs/>
                <w:color w:val="000000"/>
                <w:sz w:val="17"/>
                <w:szCs w:val="17"/>
              </w:rPr>
              <w:t xml:space="preserve">VAL-09</w:t>
            </w:r>
          </w:p>
        </w:tc>
        <w:tc>
          <w:tcPr>
            <w:tcW w:type="dxa" w:w="36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|BHP P – Rio P| ≤ 20 pts</w:t>
            </w:r>
          </w:p>
        </w:tc>
        <w:tc>
          <w:tcPr>
            <w:tcW w:type="dxa" w:w="1400"/>
            <w:tcBorders>
              <w:top w:val="single" w:color="CCCCCC" w:sz="4"/>
              <w:left w:val="single" w:color="CCCCCC" w:sz="4"/>
              <w:bottom w:val="single" w:color="CCCCCC" w:sz="4"/>
              <w:right w:val="single" w:color="CCCCCC" w:sz="4"/>
            </w:tcBorders>
            <w:shd w:fill="D6F0D8" w:val="clear"/>
            <w:tcMar>
              <w:top w:type="dxa" w:w="80"/>
              <w:left w:type="dxa" w:w="120"/>
              <w:bottom w:type="dxa" w:w="80"/>
              <w:right w:type="dxa" w:w="120"/>
            </w:tcMar>
            <w:vAlign w:val="center"/>
          </w:tcPr>
          <w:p>
            <w:pPr>
              <w:jc w:val="center"/>
            </w:pPr>
            <w:r>
              <w:rPr>
                <w:rFonts w:ascii="Arial" w:cs="Arial" w:eastAsia="Arial" w:hAnsi="Arial"/>
                <w:b/>
                <w:bCs/>
                <w:color w:val="1A5C1A"/>
                <w:sz w:val="17"/>
                <w:szCs w:val="17"/>
              </w:rPr>
              <w:t xml:space="preserve">PASS</w:t>
            </w:r>
          </w:p>
        </w:tc>
        <w:tc>
          <w:tcPr>
            <w:tcW w:type="dxa" w:w="358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None</w:t>
            </w:r>
          </w:p>
        </w:tc>
      </w:tr>
      <w:tr>
        <w:tc>
          <w:tcPr>
            <w:tcW w:type="dxa" w:w="8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bCs/>
                <w:color w:val="000000"/>
                <w:sz w:val="17"/>
                <w:szCs w:val="17"/>
              </w:rPr>
              <w:t xml:space="preserve">VAL-10</w:t>
            </w:r>
          </w:p>
        </w:tc>
        <w:tc>
          <w:tcPr>
            <w:tcW w:type="dxa" w:w="36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Shell composite &gt; Rio composite</w:t>
            </w:r>
          </w:p>
        </w:tc>
        <w:tc>
          <w:tcPr>
            <w:tcW w:type="dxa" w:w="1400"/>
            <w:tcBorders>
              <w:top w:val="single" w:color="CCCCCC" w:sz="4"/>
              <w:left w:val="single" w:color="CCCCCC" w:sz="4"/>
              <w:bottom w:val="single" w:color="CCCCCC" w:sz="4"/>
              <w:right w:val="single" w:color="CCCCCC" w:sz="4"/>
            </w:tcBorders>
            <w:shd w:fill="D6F0D8" w:val="clear"/>
            <w:tcMar>
              <w:top w:type="dxa" w:w="80"/>
              <w:left w:type="dxa" w:w="120"/>
              <w:bottom w:type="dxa" w:w="80"/>
              <w:right w:type="dxa" w:w="120"/>
            </w:tcMar>
            <w:vAlign w:val="center"/>
          </w:tcPr>
          <w:p>
            <w:pPr>
              <w:jc w:val="center"/>
            </w:pPr>
            <w:r>
              <w:rPr>
                <w:rFonts w:ascii="Arial" w:cs="Arial" w:eastAsia="Arial" w:hAnsi="Arial"/>
                <w:b/>
                <w:bCs/>
                <w:color w:val="1A5C1A"/>
                <w:sz w:val="17"/>
                <w:szCs w:val="17"/>
              </w:rPr>
              <w:t xml:space="preserve">PASS</w:t>
            </w:r>
          </w:p>
        </w:tc>
        <w:tc>
          <w:tcPr>
            <w:tcW w:type="dxa" w:w="358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None</w:t>
            </w:r>
          </w:p>
        </w:tc>
      </w:tr>
      <w:tr>
        <w:tc>
          <w:tcPr>
            <w:tcW w:type="dxa" w:w="8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bCs/>
                <w:color w:val="000000"/>
                <w:sz w:val="17"/>
                <w:szCs w:val="17"/>
              </w:rPr>
              <w:t xml:space="preserve">VAL-11</w:t>
            </w:r>
          </w:p>
        </w:tc>
        <w:tc>
          <w:tcPr>
            <w:tcW w:type="dxa" w:w="36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Shell ≥10 pts above miners; all distinct</w:t>
            </w:r>
          </w:p>
        </w:tc>
        <w:tc>
          <w:tcPr>
            <w:tcW w:type="dxa" w:w="1400"/>
            <w:tcBorders>
              <w:top w:val="single" w:color="CCCCCC" w:sz="4"/>
              <w:left w:val="single" w:color="CCCCCC" w:sz="4"/>
              <w:bottom w:val="single" w:color="CCCCCC" w:sz="4"/>
              <w:right w:val="single" w:color="CCCCCC" w:sz="4"/>
            </w:tcBorders>
            <w:shd w:fill="FAD5D5" w:val="clear"/>
            <w:tcMar>
              <w:top w:type="dxa" w:w="80"/>
              <w:left w:type="dxa" w:w="120"/>
              <w:bottom w:type="dxa" w:w="80"/>
              <w:right w:type="dxa" w:w="120"/>
            </w:tcMar>
            <w:vAlign w:val="center"/>
          </w:tcPr>
          <w:p>
            <w:pPr>
              <w:jc w:val="center"/>
            </w:pPr>
            <w:r>
              <w:rPr>
                <w:rFonts w:ascii="Arial" w:cs="Arial" w:eastAsia="Arial" w:hAnsi="Arial"/>
                <w:b/>
                <w:bCs/>
                <w:color w:val="8B0000"/>
                <w:sz w:val="17"/>
                <w:szCs w:val="17"/>
              </w:rPr>
              <w:t xml:space="preserve">FAIL</w:t>
            </w:r>
          </w:p>
        </w:tc>
        <w:tc>
          <w:tcPr>
            <w:tcW w:type="dxa" w:w="358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Shell–BHP gap = 6.1 pts (actual). Sector diff insufficient</w:t>
            </w:r>
          </w:p>
        </w:tc>
      </w:tr>
      <w:tr>
        <w:tc>
          <w:tcPr>
            <w:tcW w:type="dxa" w:w="8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bCs/>
                <w:color w:val="000000"/>
                <w:sz w:val="17"/>
                <w:szCs w:val="17"/>
              </w:rPr>
              <w:t xml:space="preserve">VAL-12</w:t>
            </w:r>
          </w:p>
        </w:tc>
        <w:tc>
          <w:tcPr>
            <w:tcW w:type="dxa" w:w="36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BHP peak CP loss vs. Cyclone Veronica</w:t>
            </w:r>
          </w:p>
        </w:tc>
        <w:tc>
          <w:tcPr>
            <w:tcW w:type="dxa" w:w="1400"/>
            <w:tcBorders>
              <w:top w:val="single" w:color="CCCCCC" w:sz="4"/>
              <w:left w:val="single" w:color="CCCCCC" w:sz="4"/>
              <w:bottom w:val="single" w:color="CCCCCC" w:sz="4"/>
              <w:right w:val="single" w:color="CCCCCC" w:sz="4"/>
            </w:tcBorders>
            <w:shd w:fill="FAD5D5" w:val="clear"/>
            <w:tcMar>
              <w:top w:type="dxa" w:w="80"/>
              <w:left w:type="dxa" w:w="120"/>
              <w:bottom w:type="dxa" w:w="80"/>
              <w:right w:type="dxa" w:w="120"/>
            </w:tcMar>
            <w:vAlign w:val="center"/>
          </w:tcPr>
          <w:p>
            <w:pPr>
              <w:jc w:val="center"/>
            </w:pPr>
            <w:r>
              <w:rPr>
                <w:rFonts w:ascii="Arial" w:cs="Arial" w:eastAsia="Arial" w:hAnsi="Arial"/>
                <w:b/>
                <w:bCs/>
                <w:color w:val="8B0000"/>
                <w:sz w:val="17"/>
                <w:szCs w:val="17"/>
              </w:rPr>
              <w:t xml:space="preserve">FAIL</w:t>
            </w:r>
          </w:p>
        </w:tc>
        <w:tc>
          <w:tcPr>
            <w:tcW w:type="dxa" w:w="358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Physical loss $4,562M vs ref $105M — 43× over</w:t>
            </w:r>
          </w:p>
        </w:tc>
      </w:tr>
      <w:tr>
        <w:tc>
          <w:tcPr>
            <w:tcW w:type="dxa" w:w="8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bCs/>
                <w:color w:val="000000"/>
                <w:sz w:val="17"/>
                <w:szCs w:val="17"/>
              </w:rPr>
              <w:t xml:space="preserve">VAL-13</w:t>
            </w:r>
          </w:p>
        </w:tc>
        <w:tc>
          <w:tcPr>
            <w:tcW w:type="dxa" w:w="36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BHP physical loss vs. QLD floods</w:t>
            </w:r>
          </w:p>
        </w:tc>
        <w:tc>
          <w:tcPr>
            <w:tcW w:type="dxa" w:w="1400"/>
            <w:tcBorders>
              <w:top w:val="single" w:color="CCCCCC" w:sz="4"/>
              <w:left w:val="single" w:color="CCCCCC" w:sz="4"/>
              <w:bottom w:val="single" w:color="CCCCCC" w:sz="4"/>
              <w:right w:val="single" w:color="CCCCCC" w:sz="4"/>
            </w:tcBorders>
            <w:shd w:fill="FAD5D5" w:val="clear"/>
            <w:tcMar>
              <w:top w:type="dxa" w:w="80"/>
              <w:left w:type="dxa" w:w="120"/>
              <w:bottom w:type="dxa" w:w="80"/>
              <w:right w:type="dxa" w:w="120"/>
            </w:tcMar>
            <w:vAlign w:val="center"/>
          </w:tcPr>
          <w:p>
            <w:pPr>
              <w:jc w:val="center"/>
            </w:pPr>
            <w:r>
              <w:rPr>
                <w:rFonts w:ascii="Arial" w:cs="Arial" w:eastAsia="Arial" w:hAnsi="Arial"/>
                <w:b/>
                <w:bCs/>
                <w:color w:val="8B0000"/>
                <w:sz w:val="17"/>
                <w:szCs w:val="17"/>
              </w:rPr>
              <w:t xml:space="preserve">FAIL</w:t>
            </w:r>
          </w:p>
        </w:tc>
        <w:tc>
          <w:tcPr>
            <w:tcW w:type="dxa" w:w="358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Same calibration issue as VAL-12</w:t>
            </w:r>
          </w:p>
        </w:tc>
      </w:tr>
      <w:tr>
        <w:tc>
          <w:tcPr>
            <w:tcW w:type="dxa" w:w="8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bCs/>
                <w:color w:val="000000"/>
                <w:sz w:val="17"/>
                <w:szCs w:val="17"/>
              </w:rPr>
              <w:t xml:space="preserve">VAL-14</w:t>
            </w:r>
          </w:p>
        </w:tc>
        <w:tc>
          <w:tcPr>
            <w:tcW w:type="dxa" w:w="36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Shell physical loss vs. Texas freeze</w:t>
            </w:r>
          </w:p>
        </w:tc>
        <w:tc>
          <w:tcPr>
            <w:tcW w:type="dxa" w:w="1400"/>
            <w:tcBorders>
              <w:top w:val="single" w:color="CCCCCC" w:sz="4"/>
              <w:left w:val="single" w:color="CCCCCC" w:sz="4"/>
              <w:bottom w:val="single" w:color="CCCCCC" w:sz="4"/>
              <w:right w:val="single" w:color="CCCCCC" w:sz="4"/>
            </w:tcBorders>
            <w:shd w:fill="FAD5D5" w:val="clear"/>
            <w:tcMar>
              <w:top w:type="dxa" w:w="80"/>
              <w:left w:type="dxa" w:w="120"/>
              <w:bottom w:type="dxa" w:w="80"/>
              <w:right w:type="dxa" w:w="120"/>
            </w:tcMar>
            <w:vAlign w:val="center"/>
          </w:tcPr>
          <w:p>
            <w:pPr>
              <w:jc w:val="center"/>
            </w:pPr>
            <w:r>
              <w:rPr>
                <w:rFonts w:ascii="Arial" w:cs="Arial" w:eastAsia="Arial" w:hAnsi="Arial"/>
                <w:b/>
                <w:bCs/>
                <w:color w:val="8B0000"/>
                <w:sz w:val="17"/>
                <w:szCs w:val="17"/>
              </w:rPr>
              <w:t xml:space="preserve">FAIL</w:t>
            </w:r>
          </w:p>
        </w:tc>
        <w:tc>
          <w:tcPr>
            <w:tcW w:type="dxa" w:w="358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Physical loss $9,405M vs ref $250M — 37× over</w:t>
            </w:r>
          </w:p>
        </w:tc>
      </w:tr>
      <w:tr>
        <w:tc>
          <w:tcPr>
            <w:tcW w:type="dxa" w:w="8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bCs/>
                <w:color w:val="000000"/>
                <w:sz w:val="17"/>
                <w:szCs w:val="17"/>
              </w:rPr>
              <w:t xml:space="preserve">VAL-15</w:t>
            </w:r>
          </w:p>
        </w:tc>
        <w:tc>
          <w:tcPr>
            <w:tcW w:type="dxa" w:w="36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Shell NZE physical loss &lt; 10% revenue</w:t>
            </w:r>
          </w:p>
        </w:tc>
        <w:tc>
          <w:tcPr>
            <w:tcW w:type="dxa" w:w="1400"/>
            <w:tcBorders>
              <w:top w:val="single" w:color="CCCCCC" w:sz="4"/>
              <w:left w:val="single" w:color="CCCCCC" w:sz="4"/>
              <w:bottom w:val="single" w:color="CCCCCC" w:sz="4"/>
              <w:right w:val="single" w:color="CCCCCC" w:sz="4"/>
            </w:tcBorders>
            <w:shd w:fill="D6F0D8" w:val="clear"/>
            <w:tcMar>
              <w:top w:type="dxa" w:w="80"/>
              <w:left w:type="dxa" w:w="120"/>
              <w:bottom w:type="dxa" w:w="80"/>
              <w:right w:type="dxa" w:w="120"/>
            </w:tcMar>
            <w:vAlign w:val="center"/>
          </w:tcPr>
          <w:p>
            <w:pPr>
              <w:jc w:val="center"/>
            </w:pPr>
            <w:r>
              <w:rPr>
                <w:rFonts w:ascii="Arial" w:cs="Arial" w:eastAsia="Arial" w:hAnsi="Arial"/>
                <w:b/>
                <w:bCs/>
                <w:color w:val="1A5C1A"/>
                <w:sz w:val="17"/>
                <w:szCs w:val="17"/>
              </w:rPr>
              <w:t xml:space="preserve">PASS</w:t>
            </w:r>
          </w:p>
        </w:tc>
        <w:tc>
          <w:tcPr>
            <w:tcW w:type="dxa" w:w="358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None</w:t>
            </w:r>
          </w:p>
        </w:tc>
      </w:tr>
      <w:tr>
        <w:tc>
          <w:tcPr>
            <w:tcW w:type="dxa" w:w="8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bCs/>
                <w:color w:val="000000"/>
                <w:sz w:val="17"/>
                <w:szCs w:val="17"/>
              </w:rPr>
              <w:t xml:space="preserve">VAL-16</w:t>
            </w:r>
          </w:p>
        </w:tc>
        <w:tc>
          <w:tcPr>
            <w:tcW w:type="dxa" w:w="36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Higher scope1 intensity → higher T score</w:t>
            </w:r>
          </w:p>
        </w:tc>
        <w:tc>
          <w:tcPr>
            <w:tcW w:type="dxa" w:w="1400"/>
            <w:tcBorders>
              <w:top w:val="single" w:color="CCCCCC" w:sz="4"/>
              <w:left w:val="single" w:color="CCCCCC" w:sz="4"/>
              <w:bottom w:val="single" w:color="CCCCCC" w:sz="4"/>
              <w:right w:val="single" w:color="CCCCCC" w:sz="4"/>
            </w:tcBorders>
            <w:shd w:fill="D6F0D8" w:val="clear"/>
            <w:tcMar>
              <w:top w:type="dxa" w:w="80"/>
              <w:left w:type="dxa" w:w="120"/>
              <w:bottom w:type="dxa" w:w="80"/>
              <w:right w:type="dxa" w:w="120"/>
            </w:tcMar>
            <w:vAlign w:val="center"/>
          </w:tcPr>
          <w:p>
            <w:pPr>
              <w:jc w:val="center"/>
            </w:pPr>
            <w:r>
              <w:rPr>
                <w:rFonts w:ascii="Arial" w:cs="Arial" w:eastAsia="Arial" w:hAnsi="Arial"/>
                <w:b/>
                <w:bCs/>
                <w:color w:val="1A5C1A"/>
                <w:sz w:val="17"/>
                <w:szCs w:val="17"/>
              </w:rPr>
              <w:t xml:space="preserve">PASS</w:t>
            </w:r>
          </w:p>
        </w:tc>
        <w:tc>
          <w:tcPr>
            <w:tcW w:type="dxa" w:w="358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None</w:t>
            </w:r>
          </w:p>
        </w:tc>
      </w:tr>
      <w:tr>
        <w:tc>
          <w:tcPr>
            <w:tcW w:type="dxa" w:w="8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bCs/>
                <w:color w:val="000000"/>
                <w:sz w:val="17"/>
                <w:szCs w:val="17"/>
              </w:rPr>
              <w:t xml:space="preserve">VAL-17</w:t>
            </w:r>
          </w:p>
        </w:tc>
        <w:tc>
          <w:tcPr>
            <w:tcW w:type="dxa" w:w="36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Removing coal → lower BHP T score</w:t>
            </w:r>
          </w:p>
        </w:tc>
        <w:tc>
          <w:tcPr>
            <w:tcW w:type="dxa" w:w="1400"/>
            <w:tcBorders>
              <w:top w:val="single" w:color="CCCCCC" w:sz="4"/>
              <w:left w:val="single" w:color="CCCCCC" w:sz="4"/>
              <w:bottom w:val="single" w:color="CCCCCC" w:sz="4"/>
              <w:right w:val="single" w:color="CCCCCC" w:sz="4"/>
            </w:tcBorders>
            <w:shd w:fill="D6F0D8" w:val="clear"/>
            <w:tcMar>
              <w:top w:type="dxa" w:w="80"/>
              <w:left w:type="dxa" w:w="120"/>
              <w:bottom w:type="dxa" w:w="80"/>
              <w:right w:type="dxa" w:w="120"/>
            </w:tcMar>
            <w:vAlign w:val="center"/>
          </w:tcPr>
          <w:p>
            <w:pPr>
              <w:jc w:val="center"/>
            </w:pPr>
            <w:r>
              <w:rPr>
                <w:rFonts w:ascii="Arial" w:cs="Arial" w:eastAsia="Arial" w:hAnsi="Arial"/>
                <w:b/>
                <w:bCs/>
                <w:color w:val="1A5C1A"/>
                <w:sz w:val="17"/>
                <w:szCs w:val="17"/>
              </w:rPr>
              <w:t xml:space="preserve">PASS</w:t>
            </w:r>
          </w:p>
        </w:tc>
        <w:tc>
          <w:tcPr>
            <w:tcW w:type="dxa" w:w="358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None</w:t>
            </w:r>
          </w:p>
        </w:tc>
      </w:tr>
      <w:tr>
        <w:tc>
          <w:tcPr>
            <w:tcW w:type="dxa" w:w="8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bCs/>
                <w:color w:val="000000"/>
                <w:sz w:val="17"/>
                <w:szCs w:val="17"/>
              </w:rPr>
              <w:t xml:space="preserve">VAL-18</w:t>
            </w:r>
          </w:p>
        </w:tc>
        <w:tc>
          <w:tcPr>
            <w:tcW w:type="dxa" w:w="36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Higher-risk region → higher P score</w:t>
            </w:r>
          </w:p>
        </w:tc>
        <w:tc>
          <w:tcPr>
            <w:tcW w:type="dxa" w:w="1400"/>
            <w:tcBorders>
              <w:top w:val="single" w:color="CCCCCC" w:sz="4"/>
              <w:left w:val="single" w:color="CCCCCC" w:sz="4"/>
              <w:bottom w:val="single" w:color="CCCCCC" w:sz="4"/>
              <w:right w:val="single" w:color="CCCCCC" w:sz="4"/>
            </w:tcBorders>
            <w:shd w:fill="FFF3CD" w:val="clear"/>
            <w:tcMar>
              <w:top w:type="dxa" w:w="80"/>
              <w:left w:type="dxa" w:w="120"/>
              <w:bottom w:type="dxa" w:w="80"/>
              <w:right w:type="dxa" w:w="120"/>
            </w:tcMar>
            <w:vAlign w:val="center"/>
          </w:tcPr>
          <w:p>
            <w:pPr>
              <w:jc w:val="center"/>
            </w:pPr>
            <w:r>
              <w:rPr>
                <w:rFonts w:ascii="Arial" w:cs="Arial" w:eastAsia="Arial" w:hAnsi="Arial"/>
                <w:b/>
                <w:bCs/>
                <w:color w:val="7B5600"/>
                <w:sz w:val="17"/>
                <w:szCs w:val="17"/>
              </w:rPr>
              <w:t xml:space="preserve">CONDITIONAL PASS</w:t>
            </w:r>
          </w:p>
        </w:tc>
        <w:tc>
          <w:tcPr>
            <w:tcW w:type="dxa" w:w="358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Depends on hazard engine regional DB</w:t>
            </w:r>
          </w:p>
        </w:tc>
      </w:tr>
      <w:tr>
        <w:tc>
          <w:tcPr>
            <w:tcW w:type="dxa" w:w="8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bCs/>
                <w:color w:val="000000"/>
                <w:sz w:val="17"/>
                <w:szCs w:val="17"/>
              </w:rPr>
              <w:t xml:space="preserve">VAL-19</w:t>
            </w:r>
          </w:p>
        </w:tc>
        <w:tc>
          <w:tcPr>
            <w:tcW w:type="dxa" w:w="36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Higher net debt → lower equity value</w:t>
            </w:r>
          </w:p>
        </w:tc>
        <w:tc>
          <w:tcPr>
            <w:tcW w:type="dxa" w:w="1400"/>
            <w:tcBorders>
              <w:top w:val="single" w:color="CCCCCC" w:sz="4"/>
              <w:left w:val="single" w:color="CCCCCC" w:sz="4"/>
              <w:bottom w:val="single" w:color="CCCCCC" w:sz="4"/>
              <w:right w:val="single" w:color="CCCCCC" w:sz="4"/>
            </w:tcBorders>
            <w:shd w:fill="D6F0D8" w:val="clear"/>
            <w:tcMar>
              <w:top w:type="dxa" w:w="80"/>
              <w:left w:type="dxa" w:w="120"/>
              <w:bottom w:type="dxa" w:w="80"/>
              <w:right w:type="dxa" w:w="120"/>
            </w:tcMar>
            <w:vAlign w:val="center"/>
          </w:tcPr>
          <w:p>
            <w:pPr>
              <w:jc w:val="center"/>
            </w:pPr>
            <w:r>
              <w:rPr>
                <w:rFonts w:ascii="Arial" w:cs="Arial" w:eastAsia="Arial" w:hAnsi="Arial"/>
                <w:b/>
                <w:bCs/>
                <w:color w:val="1A5C1A"/>
                <w:sz w:val="17"/>
                <w:szCs w:val="17"/>
              </w:rPr>
              <w:t xml:space="preserve">PASS</w:t>
            </w:r>
          </w:p>
        </w:tc>
        <w:tc>
          <w:tcPr>
            <w:tcW w:type="dxa" w:w="358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None</w:t>
            </w:r>
          </w:p>
        </w:tc>
      </w:tr>
      <w:tr>
        <w:tc>
          <w:tcPr>
            <w:tcW w:type="dxa" w:w="8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bCs/>
                <w:color w:val="000000"/>
                <w:sz w:val="17"/>
                <w:szCs w:val="17"/>
              </w:rPr>
              <w:t xml:space="preserve">VAL-20</w:t>
            </w:r>
          </w:p>
        </w:tc>
        <w:tc>
          <w:tcPr>
            <w:tcW w:type="dxa" w:w="36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Weight profile isolates composite from pillars</w:t>
            </w:r>
          </w:p>
        </w:tc>
        <w:tc>
          <w:tcPr>
            <w:tcW w:type="dxa" w:w="1400"/>
            <w:tcBorders>
              <w:top w:val="single" w:color="CCCCCC" w:sz="4"/>
              <w:left w:val="single" w:color="CCCCCC" w:sz="4"/>
              <w:bottom w:val="single" w:color="CCCCCC" w:sz="4"/>
              <w:right w:val="single" w:color="CCCCCC" w:sz="4"/>
            </w:tcBorders>
            <w:shd w:fill="D6F0D8" w:val="clear"/>
            <w:tcMar>
              <w:top w:type="dxa" w:w="80"/>
              <w:left w:type="dxa" w:w="120"/>
              <w:bottom w:type="dxa" w:w="80"/>
              <w:right w:type="dxa" w:w="120"/>
            </w:tcMar>
            <w:vAlign w:val="center"/>
          </w:tcPr>
          <w:p>
            <w:pPr>
              <w:jc w:val="center"/>
            </w:pPr>
            <w:r>
              <w:rPr>
                <w:rFonts w:ascii="Arial" w:cs="Arial" w:eastAsia="Arial" w:hAnsi="Arial"/>
                <w:b/>
                <w:bCs/>
                <w:color w:val="1A5C1A"/>
                <w:sz w:val="17"/>
                <w:szCs w:val="17"/>
              </w:rPr>
              <w:t xml:space="preserve">PASS</w:t>
            </w:r>
          </w:p>
        </w:tc>
        <w:tc>
          <w:tcPr>
            <w:tcW w:type="dxa" w:w="358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None</w:t>
            </w:r>
          </w:p>
        </w:tc>
      </w:tr>
      <w:tr>
        <w:tc>
          <w:tcPr>
            <w:tcW w:type="dxa" w:w="8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bCs/>
                <w:color w:val="000000"/>
                <w:sz w:val="17"/>
                <w:szCs w:val="17"/>
              </w:rPr>
              <w:t xml:space="preserve">VAL-21</w:t>
            </w:r>
          </w:p>
        </w:tc>
        <w:tc>
          <w:tcPr>
            <w:tcW w:type="dxa" w:w="36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Zero-emissions T score &lt; 20</w:t>
            </w:r>
          </w:p>
        </w:tc>
        <w:tc>
          <w:tcPr>
            <w:tcW w:type="dxa" w:w="1400"/>
            <w:tcBorders>
              <w:top w:val="single" w:color="CCCCCC" w:sz="4"/>
              <w:left w:val="single" w:color="CCCCCC" w:sz="4"/>
              <w:bottom w:val="single" w:color="CCCCCC" w:sz="4"/>
              <w:right w:val="single" w:color="CCCCCC" w:sz="4"/>
            </w:tcBorders>
            <w:shd w:fill="FAD5D5" w:val="clear"/>
            <w:tcMar>
              <w:top w:type="dxa" w:w="80"/>
              <w:left w:type="dxa" w:w="120"/>
              <w:bottom w:type="dxa" w:w="80"/>
              <w:right w:type="dxa" w:w="120"/>
            </w:tcMar>
            <w:vAlign w:val="center"/>
          </w:tcPr>
          <w:p>
            <w:pPr>
              <w:jc w:val="center"/>
            </w:pPr>
            <w:r>
              <w:rPr>
                <w:rFonts w:ascii="Arial" w:cs="Arial" w:eastAsia="Arial" w:hAnsi="Arial"/>
                <w:b/>
                <w:bCs/>
                <w:color w:val="8B0000"/>
                <w:sz w:val="17"/>
                <w:szCs w:val="17"/>
              </w:rPr>
              <w:t xml:space="preserve">FAIL</w:t>
            </w:r>
          </w:p>
        </w:tc>
        <w:tc>
          <w:tcPr>
            <w:tcW w:type="dxa" w:w="358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Actual: 38.3 — commodity demand-shift raises score</w:t>
            </w:r>
          </w:p>
        </w:tc>
      </w:tr>
      <w:tr>
        <w:tc>
          <w:tcPr>
            <w:tcW w:type="dxa" w:w="8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bCs/>
                <w:color w:val="000000"/>
                <w:sz w:val="17"/>
                <w:szCs w:val="17"/>
              </w:rPr>
              <w:t xml:space="preserve">VAL-22</w:t>
            </w:r>
          </w:p>
        </w:tc>
        <w:tc>
          <w:tcPr>
            <w:tcW w:type="dxa" w:w="36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Negative EBITDA → no NaN (regression)</w:t>
            </w:r>
          </w:p>
        </w:tc>
        <w:tc>
          <w:tcPr>
            <w:tcW w:type="dxa" w:w="1400"/>
            <w:tcBorders>
              <w:top w:val="single" w:color="CCCCCC" w:sz="4"/>
              <w:left w:val="single" w:color="CCCCCC" w:sz="4"/>
              <w:bottom w:val="single" w:color="CCCCCC" w:sz="4"/>
              <w:right w:val="single" w:color="CCCCCC" w:sz="4"/>
            </w:tcBorders>
            <w:shd w:fill="D6F0D8" w:val="clear"/>
            <w:tcMar>
              <w:top w:type="dxa" w:w="80"/>
              <w:left w:type="dxa" w:w="120"/>
              <w:bottom w:type="dxa" w:w="80"/>
              <w:right w:type="dxa" w:w="120"/>
            </w:tcMar>
            <w:vAlign w:val="center"/>
          </w:tcPr>
          <w:p>
            <w:pPr>
              <w:jc w:val="center"/>
            </w:pPr>
            <w:r>
              <w:rPr>
                <w:rFonts w:ascii="Arial" w:cs="Arial" w:eastAsia="Arial" w:hAnsi="Arial"/>
                <w:b/>
                <w:bCs/>
                <w:color w:val="1A5C1A"/>
                <w:sz w:val="17"/>
                <w:szCs w:val="17"/>
              </w:rPr>
              <w:t xml:space="preserve">PASS</w:t>
            </w:r>
          </w:p>
        </w:tc>
        <w:tc>
          <w:tcPr>
            <w:tcW w:type="dxa" w:w="358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None</w:t>
            </w:r>
          </w:p>
        </w:tc>
      </w:tr>
      <w:tr>
        <w:tc>
          <w:tcPr>
            <w:tcW w:type="dxa" w:w="8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bCs/>
                <w:color w:val="000000"/>
                <w:sz w:val="17"/>
                <w:szCs w:val="17"/>
              </w:rPr>
              <w:t xml:space="preserve">VAL-23</w:t>
            </w:r>
          </w:p>
        </w:tc>
        <w:tc>
          <w:tcPr>
            <w:tcW w:type="dxa" w:w="36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Single-asset company runs cleanly</w:t>
            </w:r>
          </w:p>
        </w:tc>
        <w:tc>
          <w:tcPr>
            <w:tcW w:type="dxa" w:w="1400"/>
            <w:tcBorders>
              <w:top w:val="single" w:color="CCCCCC" w:sz="4"/>
              <w:left w:val="single" w:color="CCCCCC" w:sz="4"/>
              <w:bottom w:val="single" w:color="CCCCCC" w:sz="4"/>
              <w:right w:val="single" w:color="CCCCCC" w:sz="4"/>
            </w:tcBorders>
            <w:shd w:fill="D6F0D8" w:val="clear"/>
            <w:tcMar>
              <w:top w:type="dxa" w:w="80"/>
              <w:left w:type="dxa" w:w="120"/>
              <w:bottom w:type="dxa" w:w="80"/>
              <w:right w:type="dxa" w:w="120"/>
            </w:tcMar>
            <w:vAlign w:val="center"/>
          </w:tcPr>
          <w:p>
            <w:pPr>
              <w:jc w:val="center"/>
            </w:pPr>
            <w:r>
              <w:rPr>
                <w:rFonts w:ascii="Arial" w:cs="Arial" w:eastAsia="Arial" w:hAnsi="Arial"/>
                <w:b/>
                <w:bCs/>
                <w:color w:val="1A5C1A"/>
                <w:sz w:val="17"/>
                <w:szCs w:val="17"/>
              </w:rPr>
              <w:t xml:space="preserve">PASS</w:t>
            </w:r>
          </w:p>
        </w:tc>
        <w:tc>
          <w:tcPr>
            <w:tcW w:type="dxa" w:w="358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None</w:t>
            </w:r>
          </w:p>
        </w:tc>
      </w:tr>
      <w:tr>
        <w:tc>
          <w:tcPr>
            <w:tcW w:type="dxa" w:w="8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bCs/>
                <w:color w:val="000000"/>
                <w:sz w:val="17"/>
                <w:szCs w:val="17"/>
              </w:rPr>
              <w:t xml:space="preserve">VAL-24</w:t>
            </w:r>
          </w:p>
        </w:tc>
        <w:tc>
          <w:tcPr>
            <w:tcW w:type="dxa" w:w="36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Custom weights ≠ 1.0 → ValueError</w:t>
            </w:r>
          </w:p>
        </w:tc>
        <w:tc>
          <w:tcPr>
            <w:tcW w:type="dxa" w:w="1400"/>
            <w:tcBorders>
              <w:top w:val="single" w:color="CCCCCC" w:sz="4"/>
              <w:left w:val="single" w:color="CCCCCC" w:sz="4"/>
              <w:bottom w:val="single" w:color="CCCCCC" w:sz="4"/>
              <w:right w:val="single" w:color="CCCCCC" w:sz="4"/>
            </w:tcBorders>
            <w:shd w:fill="D6F0D8" w:val="clear"/>
            <w:tcMar>
              <w:top w:type="dxa" w:w="80"/>
              <w:left w:type="dxa" w:w="120"/>
              <w:bottom w:type="dxa" w:w="80"/>
              <w:right w:type="dxa" w:w="120"/>
            </w:tcMar>
            <w:vAlign w:val="center"/>
          </w:tcPr>
          <w:p>
            <w:pPr>
              <w:jc w:val="center"/>
            </w:pPr>
            <w:r>
              <w:rPr>
                <w:rFonts w:ascii="Arial" w:cs="Arial" w:eastAsia="Arial" w:hAnsi="Arial"/>
                <w:b/>
                <w:bCs/>
                <w:color w:val="1A5C1A"/>
                <w:sz w:val="17"/>
                <w:szCs w:val="17"/>
              </w:rPr>
              <w:t xml:space="preserve">PASS</w:t>
            </w:r>
          </w:p>
        </w:tc>
        <w:tc>
          <w:tcPr>
            <w:tcW w:type="dxa" w:w="358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None</w:t>
            </w:r>
          </w:p>
        </w:tc>
      </w:tr>
      <w:tr>
        <w:tc>
          <w:tcPr>
            <w:tcW w:type="dxa" w:w="8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bCs/>
                <w:color w:val="000000"/>
                <w:sz w:val="17"/>
                <w:szCs w:val="17"/>
              </w:rPr>
              <w:t xml:space="preserve">VAL-25</w:t>
            </w:r>
          </w:p>
        </w:tc>
        <w:tc>
          <w:tcPr>
            <w:tcW w:type="dxa" w:w="36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CUSTOM + no custom_weights → ValueError</w:t>
            </w:r>
          </w:p>
        </w:tc>
        <w:tc>
          <w:tcPr>
            <w:tcW w:type="dxa" w:w="1400"/>
            <w:tcBorders>
              <w:top w:val="single" w:color="CCCCCC" w:sz="4"/>
              <w:left w:val="single" w:color="CCCCCC" w:sz="4"/>
              <w:bottom w:val="single" w:color="CCCCCC" w:sz="4"/>
              <w:right w:val="single" w:color="CCCCCC" w:sz="4"/>
            </w:tcBorders>
            <w:shd w:fill="D6F0D8" w:val="clear"/>
            <w:tcMar>
              <w:top w:type="dxa" w:w="80"/>
              <w:left w:type="dxa" w:w="120"/>
              <w:bottom w:type="dxa" w:w="80"/>
              <w:right w:type="dxa" w:w="120"/>
            </w:tcMar>
            <w:vAlign w:val="center"/>
          </w:tcPr>
          <w:p>
            <w:pPr>
              <w:jc w:val="center"/>
            </w:pPr>
            <w:r>
              <w:rPr>
                <w:rFonts w:ascii="Arial" w:cs="Arial" w:eastAsia="Arial" w:hAnsi="Arial"/>
                <w:b/>
                <w:bCs/>
                <w:color w:val="1A5C1A"/>
                <w:sz w:val="17"/>
                <w:szCs w:val="17"/>
              </w:rPr>
              <w:t xml:space="preserve">PASS</w:t>
            </w:r>
          </w:p>
        </w:tc>
        <w:tc>
          <w:tcPr>
            <w:tcW w:type="dxa" w:w="358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None</w:t>
            </w:r>
          </w:p>
        </w:tc>
      </w:tr>
      <w:tr>
        <w:tc>
          <w:tcPr>
            <w:tcW w:type="dxa" w:w="8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bCs/>
                <w:color w:val="000000"/>
                <w:sz w:val="17"/>
                <w:szCs w:val="17"/>
              </w:rPr>
              <w:t xml:space="preserve">VAL-26</w:t>
            </w:r>
          </w:p>
        </w:tc>
        <w:tc>
          <w:tcPr>
            <w:tcW w:type="dxa" w:w="36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All scores in [0, 100]</w:t>
            </w:r>
          </w:p>
        </w:tc>
        <w:tc>
          <w:tcPr>
            <w:tcW w:type="dxa" w:w="1400"/>
            <w:tcBorders>
              <w:top w:val="single" w:color="CCCCCC" w:sz="4"/>
              <w:left w:val="single" w:color="CCCCCC" w:sz="4"/>
              <w:bottom w:val="single" w:color="CCCCCC" w:sz="4"/>
              <w:right w:val="single" w:color="CCCCCC" w:sz="4"/>
            </w:tcBorders>
            <w:shd w:fill="D6F0D8" w:val="clear"/>
            <w:tcMar>
              <w:top w:type="dxa" w:w="80"/>
              <w:left w:type="dxa" w:w="120"/>
              <w:bottom w:type="dxa" w:w="80"/>
              <w:right w:type="dxa" w:w="120"/>
            </w:tcMar>
            <w:vAlign w:val="center"/>
          </w:tcPr>
          <w:p>
            <w:pPr>
              <w:jc w:val="center"/>
            </w:pPr>
            <w:r>
              <w:rPr>
                <w:rFonts w:ascii="Arial" w:cs="Arial" w:eastAsia="Arial" w:hAnsi="Arial"/>
                <w:b/>
                <w:bCs/>
                <w:color w:val="1A5C1A"/>
                <w:sz w:val="17"/>
                <w:szCs w:val="17"/>
              </w:rPr>
              <w:t xml:space="preserve">PASS</w:t>
            </w:r>
          </w:p>
        </w:tc>
        <w:tc>
          <w:tcPr>
            <w:tcW w:type="dxa" w:w="358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None</w:t>
            </w:r>
          </w:p>
        </w:tc>
      </w:tr>
      <w:tr>
        <w:tc>
          <w:tcPr>
            <w:tcW w:type="dxa" w:w="8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bCs/>
                <w:color w:val="000000"/>
                <w:sz w:val="17"/>
                <w:szCs w:val="17"/>
              </w:rPr>
              <w:t xml:space="preserve">VAL-27</w:t>
            </w:r>
          </w:p>
        </w:tc>
        <w:tc>
          <w:tcPr>
            <w:tcW w:type="dxa" w:w="36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25-year trajectory produced</w:t>
            </w:r>
          </w:p>
        </w:tc>
        <w:tc>
          <w:tcPr>
            <w:tcW w:type="dxa" w:w="1400"/>
            <w:tcBorders>
              <w:top w:val="single" w:color="CCCCCC" w:sz="4"/>
              <w:left w:val="single" w:color="CCCCCC" w:sz="4"/>
              <w:bottom w:val="single" w:color="CCCCCC" w:sz="4"/>
              <w:right w:val="single" w:color="CCCCCC" w:sz="4"/>
            </w:tcBorders>
            <w:shd w:fill="D6F0D8" w:val="clear"/>
            <w:tcMar>
              <w:top w:type="dxa" w:w="80"/>
              <w:left w:type="dxa" w:w="120"/>
              <w:bottom w:type="dxa" w:w="80"/>
              <w:right w:type="dxa" w:w="120"/>
            </w:tcMar>
            <w:vAlign w:val="center"/>
          </w:tcPr>
          <w:p>
            <w:pPr>
              <w:jc w:val="center"/>
            </w:pPr>
            <w:r>
              <w:rPr>
                <w:rFonts w:ascii="Arial" w:cs="Arial" w:eastAsia="Arial" w:hAnsi="Arial"/>
                <w:b/>
                <w:bCs/>
                <w:color w:val="1A5C1A"/>
                <w:sz w:val="17"/>
                <w:szCs w:val="17"/>
              </w:rPr>
              <w:t xml:space="preserve">PASS</w:t>
            </w:r>
          </w:p>
        </w:tc>
        <w:tc>
          <w:tcPr>
            <w:tcW w:type="dxa" w:w="358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None</w:t>
            </w:r>
          </w:p>
        </w:tc>
      </w:tr>
    </w:tbl>
    <w:p>
      <w:pPr>
        <w:spacing w:after="80" w:before="0"/>
      </w:pPr>
      <w:r>
        <w:t xml:space="preserve"/>
      </w:r>
    </w:p>
    <w:p>
      <w:pPr>
        <w:pStyle w:val="Heading2"/>
        <w:spacing w:after="80" w:before="240"/>
      </w:pPr>
      <w:r>
        <w:rPr>
          <w:rFonts w:ascii="Arial" w:cs="Arial" w:eastAsia="Arial" w:hAnsi="Arial"/>
          <w:b/>
          <w:bCs/>
          <w:color w:val="2A8C7A"/>
          <w:sz w:val="26"/>
          <w:szCs w:val="26"/>
        </w:rPr>
        <w:t xml:space="preserve">8.2 Live Test Counts (run 8 May 2026)</w:t>
      </w:r>
    </w:p>
    <w:tbl>
      <w:tblPr>
        <w:tblW w:type="dxa" w:w="400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tblGrid>
      <w:tr>
        <w:tc>
          <w:tcPr>
            <w:tcW w:type="dxa" w:w="2000"/>
            <w:tcBorders>
              <w:top w:val="single" w:color="1A3C5E" w:sz="6"/>
              <w:left w:val="single" w:color="1A3C5E" w:sz="6"/>
              <w:bottom w:val="single" w:color="1A3C5E" w:sz="6"/>
              <w:right w:val="single" w:color="1A3C5E" w:sz="6"/>
            </w:tcBorders>
            <w:shd w:fill="1A3C5E"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Verdict</w:t>
            </w:r>
          </w:p>
        </w:tc>
        <w:tc>
          <w:tcPr>
            <w:tcW w:type="dxa" w:w="2000"/>
            <w:tcBorders>
              <w:top w:val="single" w:color="1A3C5E" w:sz="6"/>
              <w:left w:val="single" w:color="1A3C5E" w:sz="6"/>
              <w:bottom w:val="single" w:color="1A3C5E" w:sz="6"/>
              <w:right w:val="single" w:color="1A3C5E" w:sz="6"/>
            </w:tcBorders>
            <w:shd w:fill="1A3C5E"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Count</w:t>
            </w:r>
          </w:p>
        </w:tc>
      </w:tr>
      <w:tr>
        <w:tc>
          <w:tcPr>
            <w:tcW w:type="dxa" w:w="2000"/>
            <w:tcBorders>
              <w:top w:val="single" w:color="CCCCCC" w:sz="4"/>
              <w:left w:val="single" w:color="CCCCCC" w:sz="4"/>
              <w:bottom w:val="single" w:color="CCCCCC" w:sz="4"/>
              <w:right w:val="single" w:color="CCCCCC" w:sz="4"/>
            </w:tcBorders>
            <w:shd w:fill="D6F0D8" w:val="clear"/>
            <w:tcMar>
              <w:top w:type="dxa" w:w="80"/>
              <w:left w:type="dxa" w:w="120"/>
              <w:bottom w:type="dxa" w:w="80"/>
              <w:right w:type="dxa" w:w="120"/>
            </w:tcMar>
            <w:vAlign w:val="center"/>
          </w:tcPr>
          <w:p>
            <w:pPr>
              <w:jc w:val="center"/>
            </w:pPr>
            <w:r>
              <w:rPr>
                <w:rFonts w:ascii="Arial" w:cs="Arial" w:eastAsia="Arial" w:hAnsi="Arial"/>
                <w:b/>
                <w:bCs/>
                <w:color w:val="1A5C1A"/>
                <w:sz w:val="17"/>
                <w:szCs w:val="17"/>
              </w:rPr>
              <w:t xml:space="preserve">PASS</w:t>
            </w:r>
          </w:p>
        </w:tc>
        <w:tc>
          <w:tcPr>
            <w:tcW w:type="dxa" w:w="20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000000"/>
                <w:sz w:val="18"/>
                <w:szCs w:val="18"/>
              </w:rPr>
              <w:t xml:space="preserve">23 / 28</w:t>
            </w:r>
          </w:p>
        </w:tc>
      </w:tr>
      <w:tr>
        <w:tc>
          <w:tcPr>
            <w:tcW w:type="dxa" w:w="2000"/>
            <w:tcBorders>
              <w:top w:val="single" w:color="CCCCCC" w:sz="4"/>
              <w:left w:val="single" w:color="CCCCCC" w:sz="4"/>
              <w:bottom w:val="single" w:color="CCCCCC" w:sz="4"/>
              <w:right w:val="single" w:color="CCCCCC" w:sz="4"/>
            </w:tcBorders>
            <w:shd w:fill="FAD5D5" w:val="clear"/>
            <w:tcMar>
              <w:top w:type="dxa" w:w="80"/>
              <w:left w:type="dxa" w:w="120"/>
              <w:bottom w:type="dxa" w:w="80"/>
              <w:right w:type="dxa" w:w="120"/>
            </w:tcMar>
            <w:vAlign w:val="center"/>
          </w:tcPr>
          <w:p>
            <w:pPr>
              <w:jc w:val="center"/>
            </w:pPr>
            <w:r>
              <w:rPr>
                <w:rFonts w:ascii="Arial" w:cs="Arial" w:eastAsia="Arial" w:hAnsi="Arial"/>
                <w:b/>
                <w:bCs/>
                <w:color w:val="8B0000"/>
                <w:sz w:val="17"/>
                <w:szCs w:val="17"/>
              </w:rPr>
              <w:t xml:space="preserve">FAIL</w:t>
            </w:r>
          </w:p>
        </w:tc>
        <w:tc>
          <w:tcPr>
            <w:tcW w:type="dxa" w:w="20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000000"/>
                <w:sz w:val="18"/>
                <w:szCs w:val="18"/>
              </w:rPr>
              <w:t xml:space="preserve">5 / 28</w:t>
            </w:r>
          </w:p>
        </w:tc>
      </w:tr>
    </w:tbl>
    <w:p>
      <w:pPr>
        <w:spacing w:after="80" w:before="0"/>
      </w:pPr>
      <w:r>
        <w:t xml:space="preserve"/>
      </w:r>
    </w:p>
    <w:p>
      <w:pPr>
        <w:spacing w:after="60" w:before="60"/>
      </w:pPr>
      <w:r>
        <w:rPr>
          <w:rFonts w:ascii="Arial" w:cs="Arial" w:eastAsia="Arial" w:hAnsi="Arial"/>
          <w:sz w:val="20"/>
          <w:szCs w:val="20"/>
        </w:rPr>
        <w:t xml:space="preserve">Pass rate: 82%. Failures all identify addressable model issues; no correctness failures in scenario ordering, sensitivity, or core financial logic.</w:t>
      </w:r>
    </w:p>
    <w:p>
      <w:pPr>
        <w:spacing w:after="80" w:before="0"/>
      </w:pPr>
      <w:r>
        <w:t xml:space="preserve"/>
      </w:r>
    </w:p>
    <w:p>
      <w:pPr>
        <w:pStyle w:val="Heading2"/>
        <w:spacing w:after="80" w:before="240"/>
      </w:pPr>
      <w:r>
        <w:rPr>
          <w:rFonts w:ascii="Arial" w:cs="Arial" w:eastAsia="Arial" w:hAnsi="Arial"/>
          <w:b/>
          <w:bCs/>
          <w:color w:val="2A8C7A"/>
          <w:sz w:val="26"/>
          <w:szCs w:val="26"/>
        </w:rPr>
        <w:t xml:space="preserve">8.3 Recommendations</w:t>
      </w:r>
    </w:p>
    <w:p>
      <w:pPr>
        <w:spacing w:after="80" w:before="0"/>
      </w:pPr>
      <w:r>
        <w:t xml:space="preserve"/>
      </w:r>
    </w:p>
    <w:p>
      <w:pPr>
        <w:spacing w:after="60" w:before="60"/>
      </w:pPr>
      <w:r>
        <w:rPr>
          <w:rFonts w:ascii="Arial" w:cs="Arial" w:eastAsia="Arial" w:hAnsi="Arial"/>
          <w:b/>
          <w:bCs/>
          <w:sz w:val="20"/>
          <w:szCs w:val="20"/>
        </w:rPr>
        <w:t xml:space="preserve">R1 — Recalibrate physical hazard multipliers (Critical): </w:t>
      </w:r>
      <w:r>
        <w:rPr>
          <w:rFonts w:ascii="Arial" w:cs="Arial" w:eastAsia="Arial" w:hAnsi="Arial"/>
          <w:sz w:val="20"/>
          <w:szCs w:val="20"/>
        </w:rPr>
        <w:t xml:space="preserve">BHP peak physical loss = $4.6B/yr; Shell = $9.4B/yr — both are 30–43× higher than referenced climate events. Audit hazard_layers.py intensity multipliers and calibrate against a set of 5+ real events with known company-level financial impacts. A correction factor of approximately 1/30 to 1/43 is indicated.</w:t>
      </w:r>
    </w:p>
    <w:p>
      <w:pPr>
        <w:spacing w:after="80" w:before="0"/>
      </w:pPr>
      <w:r>
        <w:t xml:space="preserve"/>
      </w:r>
    </w:p>
    <w:p>
      <w:pPr>
        <w:spacing w:after="60" w:before="60"/>
      </w:pPr>
      <w:r>
        <w:rPr>
          <w:rFonts w:ascii="Arial" w:cs="Arial" w:eastAsia="Arial" w:hAnsi="Arial"/>
          <w:b/>
          <w:bCs/>
          <w:sz w:val="20"/>
          <w:szCs w:val="20"/>
        </w:rPr>
        <w:t xml:space="preserve">R2 — Fix WACC uplift term: </w:t>
      </w:r>
      <w:r>
        <w:rPr>
          <w:rFonts w:ascii="Arial" w:cs="Arial" w:eastAsia="Arial" w:hAnsi="Arial"/>
          <w:sz w:val="20"/>
          <w:szCs w:val="20"/>
        </w:rPr>
        <w:t xml:space="preserve">Replace nze.wacc_used - cp.wacc_used with dt.wacc_used - nze.wacc_used in _financial_score(). This will activate the WACC component and increase financial scores for highly leveraged or high-transition-risk companies.</w:t>
      </w:r>
    </w:p>
    <w:p>
      <w:pPr>
        <w:spacing w:after="80" w:before="0"/>
      </w:pPr>
      <w:r>
        <w:t xml:space="preserve"/>
      </w:r>
    </w:p>
    <w:p>
      <w:pPr>
        <w:spacing w:after="60" w:before="60"/>
      </w:pPr>
      <w:r>
        <w:rPr>
          <w:rFonts w:ascii="Arial" w:cs="Arial" w:eastAsia="Arial" w:hAnsi="Arial"/>
          <w:b/>
          <w:bCs/>
          <w:sz w:val="20"/>
          <w:szCs w:val="20"/>
        </w:rPr>
        <w:t xml:space="preserve">R3 — Expand regional hazard coverage documentation: </w:t>
      </w:r>
      <w:r>
        <w:rPr>
          <w:rFonts w:ascii="Arial" w:cs="Arial" w:eastAsia="Arial" w:hAnsi="Arial"/>
          <w:sz w:val="20"/>
          <w:szCs w:val="20"/>
        </w:rPr>
        <w:t xml:space="preserve">Document which regions are explicitly covered in the PhysicalHazardEngine database and which fall back to defaults. Add a test that asserts physical loss &gt; 0 for each seed company asset so gaps in coverage are visible.</w:t>
      </w:r>
    </w:p>
    <w:p>
      <w:pPr>
        <w:spacing w:after="80" w:before="0"/>
      </w:pPr>
      <w:r>
        <w:t xml:space="preserve"/>
      </w:r>
    </w:p>
    <w:p>
      <w:pPr>
        <w:spacing w:after="60" w:before="60"/>
      </w:pPr>
      <w:r>
        <w:rPr>
          <w:rFonts w:ascii="Arial" w:cs="Arial" w:eastAsia="Arial" w:hAnsi="Arial"/>
          <w:b/>
          <w:bCs/>
          <w:sz w:val="20"/>
          <w:szCs w:val="20"/>
        </w:rPr>
        <w:t xml:space="preserve">R4 — Add a live backtest milestone: </w:t>
      </w:r>
      <w:r>
        <w:rPr>
          <w:rFonts w:ascii="Arial" w:cs="Arial" w:eastAsia="Arial" w:hAnsi="Arial"/>
          <w:sz w:val="20"/>
          <w:szCs w:val="20"/>
        </w:rPr>
        <w:t xml:space="preserve">Select 5 real companies with known climate-event losses in 2018–2023 (e.g., BASF Rhine drought, Origin Energy bushfires, Glencore QLD floods) and compare model output against reported losses. This is the validation step that moves the model from 'plausible' to 'evidence-based'.</w:t>
      </w:r>
    </w:p>
    <w:p>
      <w:pPr>
        <w:spacing w:after="80" w:before="0"/>
      </w:pPr>
      <w:r>
        <w:t xml:space="preserve"/>
      </w:r>
    </w:p>
    <w:p>
      <w:pPr>
        <w:spacing w:after="60" w:before="60"/>
      </w:pPr>
      <w:r>
        <w:rPr>
          <w:rFonts w:ascii="Arial" w:cs="Arial" w:eastAsia="Arial" w:hAnsi="Arial"/>
          <w:b/>
          <w:bCs/>
          <w:sz w:val="20"/>
          <w:szCs w:val="20"/>
        </w:rPr>
        <w:t xml:space="preserve">R5 — Resolve LNG price unit: </w:t>
      </w:r>
      <w:r>
        <w:rPr>
          <w:rFonts w:ascii="Arial" w:cs="Arial" w:eastAsia="Arial" w:hAnsi="Arial"/>
          <w:sz w:val="20"/>
          <w:szCs w:val="20"/>
        </w:rPr>
        <w:t xml:space="preserve">Document or normalise the LNG Australia price unit in the asset definition. Add a comment to the seed data clarifying the unit assumption.</w:t>
      </w:r>
    </w:p>
    <w:p>
      <w:pPr>
        <w:spacing w:after="80" w:before="0"/>
      </w:pPr>
      <w:r>
        <w:t xml:space="preserve"/>
      </w:r>
    </w:p>
    <w:p>
      <w:pPr>
        <w:spacing w:after="60" w:before="60"/>
      </w:pPr>
      <w:r>
        <w:rPr>
          <w:rFonts w:ascii="Arial" w:cs="Arial" w:eastAsia="Arial" w:hAnsi="Arial"/>
          <w:b/>
          <w:bCs/>
          <w:sz w:val="20"/>
          <w:szCs w:val="20"/>
        </w:rPr>
        <w:t xml:space="preserve">R6 — Raise EBITDA compression cap: </w:t>
      </w:r>
      <w:r>
        <w:rPr>
          <w:rFonts w:ascii="Arial" w:cs="Arial" w:eastAsia="Arial" w:hAnsi="Arial"/>
          <w:sz w:val="20"/>
          <w:szCs w:val="20"/>
        </w:rPr>
        <w:t xml:space="preserve">Change min(35.0, compress_frac * 175.0) to min(50.0, compress_frac * 143.0) to preserve the same midpoint calibration while allowing more differentiation at extreme compression levels.</w:t>
      </w:r>
    </w:p>
    <w:p>
      <w:pPr>
        <w:spacing w:after="80" w:before="0"/>
      </w:pPr>
      <w:r>
        <w:t xml:space="preserve"/>
      </w:r>
    </w:p>
    <w:p>
      <w:pPr>
        <w:spacing w:after="60" w:before="60"/>
      </w:pPr>
      <w:r>
        <w:rPr>
          <w:rFonts w:ascii="Arial" w:cs="Arial" w:eastAsia="Arial" w:hAnsi="Arial"/>
          <w:b/>
          <w:bCs/>
          <w:sz w:val="20"/>
          <w:szCs w:val="20"/>
        </w:rPr>
        <w:t xml:space="preserve">R7 — Define zero-emissions transition risk scope: </w:t>
      </w:r>
      <w:r>
        <w:rPr>
          <w:rFonts w:ascii="Arial" w:cs="Arial" w:eastAsia="Arial" w:hAnsi="Arial"/>
          <w:sz w:val="20"/>
          <w:szCs w:val="20"/>
        </w:rPr>
        <w:t xml:space="preserve">Decide whether zero-emissions companies should receive non-zero transition risk from commodity demand-shift. If not, gate the revenue-decline component on asset-level carbon intensity &gt; 0. If yes, update the test threshold for VAL-21 from &lt;20 to &lt;45 to reflect the design intent.</w:t>
      </w:r>
    </w:p>
    <w:p>
      <w:pPr>
        <w:spacing w:after="160" w:before="0"/>
      </w:pPr>
      <w:r>
        <w:t xml:space="preserve"/>
      </w:r>
    </w:p>
    <w:p>
      <w:pPr>
        <w:pBdr>
          <w:bottom w:val="single" w:color="2A8C7A" w:sz="6" w:space="1"/>
        </w:pBdr>
        <w:spacing w:after="120" w:before="120"/>
      </w:pPr>
      <w:r>
        <w:t xml:space="preserve"/>
      </w:r>
    </w:p>
    <w:p>
      <w:pPr>
        <w:jc w:val="center"/>
      </w:pPr>
      <w:r>
        <w:rPr>
          <w:rFonts w:ascii="Arial" w:cs="Arial" w:eastAsia="Arial" w:hAnsi="Arial"/>
          <w:i/>
          <w:iCs/>
          <w:color w:val="888888"/>
          <w:sz w:val="18"/>
          <w:szCs w:val="18"/>
        </w:rPr>
        <w:t xml:space="preserve">End of CRI Model Validation Study v1.0</w:t>
      </w:r>
    </w:p>
    <w:sectPr>
      <w:headerReference w:type="default" r:id="rId7"/>
      <w:footerReference w:type="default" r:id="rId8"/>
      <w:pgSz w:w="11906" w:h="16838" w:orient="portrait"/>
      <w:pgMar w:top="1260" w:right="1260" w:bottom="126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1"/>
      </w:pBdr>
      <w:tabs>
        <w:tab w:val="right" w:pos="9026"/>
      </w:tabs>
    </w:pPr>
    <w:r>
      <w:rPr>
        <w:rFonts w:ascii="Arial" w:cs="Arial" w:eastAsia="Arial" w:hAnsi="Arial"/>
        <w:color w:val="888888"/>
        <w:sz w:val="16"/>
        <w:szCs w:val="16"/>
      </w:rPr>
      <w:t xml:space="preserve">© 2026 ClimRisk Intelligence</w:t>
    </w:r>
    <w:r>
      <w:rPr>
        <w:sz w:val="16"/>
        <w:szCs w:val="16"/>
      </w:rPr>
      <w:t xml:space="preserve">	</w:t>
    </w:r>
    <w:r>
      <w:rPr>
        <w:rFonts w:ascii="Arial" w:cs="Arial" w:eastAsia="Arial" w:hAnsi="Arial"/>
        <w:color w:val="888888"/>
        <w:sz w:val="16"/>
        <w:szCs w:val="16"/>
      </w:rPr>
      <w:t xml:space="preserve">Page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3C5E" w:sz="6" w:space="1"/>
      </w:pBdr>
      <w:tabs>
        <w:tab w:val="right" w:pos="9026"/>
      </w:tabs>
    </w:pPr>
    <w:r>
      <w:rPr>
        <w:rFonts w:ascii="Arial" w:cs="Arial" w:eastAsia="Arial" w:hAnsi="Arial"/>
        <w:color w:val="1A3C5E"/>
        <w:sz w:val="16"/>
        <w:szCs w:val="16"/>
      </w:rPr>
      <w:t xml:space="preserve">CRI Climate Risk Engine — Model Validation Study v1.0</w:t>
    </w:r>
    <w:r>
      <w:rPr>
        <w:sz w:val="16"/>
        <w:szCs w:val="16"/>
      </w:rPr>
      <w:t xml:space="preserve">	</w:t>
    </w:r>
    <w:r>
      <w:rPr>
        <w:rFonts w:ascii="Arial" w:cs="Arial" w:eastAsia="Arial" w:hAnsi="Arial"/>
        <w:color w:val="888888"/>
        <w:sz w:val="16"/>
        <w:szCs w:val="16"/>
      </w:rPr>
      <w:t xml:space="preserve">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120" w:before="360"/>
      <w:outlineLvl w:val="0"/>
    </w:pPr>
    <w:rPr>
      <w:rFonts w:ascii="Arial" w:cs="Arial" w:eastAsia="Arial" w:hAnsi="Arial"/>
      <w:b/>
      <w:bCs/>
      <w:color w:val="1A3C5E"/>
      <w:sz w:val="32"/>
      <w:szCs w:val="32"/>
    </w:rPr>
  </w:style>
  <w:style w:type="paragraph" w:styleId="Heading2">
    <w:name w:val="Heading 2"/>
    <w:basedOn w:val="Normal"/>
    <w:next w:val="Normal"/>
    <w:pPr>
      <w:spacing w:after="80" w:before="240"/>
      <w:outlineLvl w:val="1"/>
    </w:pPr>
    <w:rPr>
      <w:rFonts w:ascii="Arial" w:cs="Arial" w:eastAsia="Arial" w:hAnsi="Arial"/>
      <w:b/>
      <w:bCs/>
      <w:color w:val="2A8C7A"/>
      <w:sz w:val="26"/>
      <w:szCs w:val="26"/>
    </w:rPr>
  </w:style>
  <w:style w:type="paragraph" w:styleId="Heading3">
    <w:name w:val="Heading 3"/>
    <w:basedOn w:val="Normal"/>
    <w:next w:val="Normal"/>
    <w:pPr>
      <w:spacing w:after="60" w:before="180"/>
      <w:outlineLvl w:val="2"/>
    </w:pPr>
    <w:rPr>
      <w:rFonts w:ascii="Arial" w:cs="Arial" w:eastAsia="Arial" w:hAnsi="Arial"/>
      <w:b/>
      <w:bCs/>
      <w:color w:val="333333"/>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2026-05-08T06:59:18.469Z</dcterms:created>
  <dcterms:modified xsi:type="dcterms:W3CDTF">2026-05-08T06:59:18.470Z</dcterms:modified>
</cp:coreProperties>
</file>

<file path=docProps/custom.xml><?xml version="1.0" encoding="utf-8"?>
<Properties xmlns="http://schemas.openxmlformats.org/officeDocument/2006/custom-properties" xmlns:vt="http://schemas.openxmlformats.org/officeDocument/2006/docPropsVTypes"/>
</file>