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SHRINIVASH DHAMODHARA KANNAN</w:t>
      </w:r>
    </w:p>
    <w:p>
      <w:pPr>
        <w:spacing w:after="0" w:before="3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Founder &amp; CEO, ClimRisk B.V.  |  ISO 14067 Accredited Auditor  |  MSc Erasmus University Rotterdam</w:t>
      </w:r>
    </w:p>
    <w:p>
      <w:pPr>
        <w:pBdr>
          <w:bottom w:val="single" w:color="1B3A5C" w:sz="4" w:space="4"/>
        </w:pBdr>
        <w:tabs>
          <w:tab w:val="right" w:pos="9026"/>
        </w:tabs>
        <w:spacing w:after="0" w:before="3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shri@climrisk.io  |  +31 647 140 567  |  +91 7502501243  |  climrisk.io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linkedin.com/in/shrinivash-dhamodhara-kannan  |  Chennai, India</w:t>
      </w:r>
    </w:p>
    <w:p>
      <w:pPr>
        <w:spacing w:after="40" w:before="0"/>
      </w:pPr>
    </w:p>
    <w:p>
      <w:pPr>
        <w:pBdr>
          <w:bottom w:val="single" w:color="1B3A5C" w:sz="3" w:space="2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B3A5C"/>
          <w:sz w:val="21"/>
          <w:szCs w:val="21"/>
        </w:rPr>
        <w:t xml:space="preserve">Professional Summary</w:t>
      </w:r>
    </w:p>
    <w:p>
      <w:pPr>
        <w:spacing w:after="0" w:before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Founder of ClimRisk B.V. — a climate financial risk intelligence platform automating quantified CSRD, TCFD, and IFRS S2 regulatory disclosures for enterprises. 4+ years spanning industrial GHG accounting, EU municipal climate governance, and climate-financial risk modelling. ISO 14067-accredited; expertise in Scope 1-3 inventory design, audit-ready reporting, and ESG data governance across GHG Protocol, GRI, SASB, TCFD, CDP, and CSRD. Python, QGIS, LCA practitioner.</w:t>
      </w:r>
    </w:p>
    <w:p>
      <w:pPr>
        <w:spacing w:after="40" w:before="0"/>
      </w:pPr>
    </w:p>
    <w:p>
      <w:pPr>
        <w:pBdr>
          <w:bottom w:val="single" w:color="1B3A5C" w:sz="3" w:space="2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B3A5C"/>
          <w:sz w:val="21"/>
          <w:szCs w:val="21"/>
        </w:rPr>
        <w:t xml:space="preserve">Key Skills</w:t>
      </w:r>
    </w:p>
    <w:p>
      <w:pPr>
        <w:spacing w:after="25" w:before="35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CSRD  |  TCFD  |  IFRS S2  |  BRSR  |  GHG Protocol  |  ISO 14064  |  ISO 14067  |  Scope 1-2-3  |  LCA (OpenLCA / Ecoinvent)  |  SBTi  |  CDP  |  GRI  |  SASB</w:t>
      </w:r>
    </w:p>
    <w:p>
      <w:pPr>
        <w:spacing w:after="25" w:before="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Physical &amp; Transition Risk Modelling  |  NGFS Scenarios  |  IPCC AR6  |  WRI Aqueduct  |  Climate-Financial Disclosure  |  Regulatory Compliance</w:t>
      </w:r>
    </w:p>
    <w:p>
      <w:pPr>
        <w:spacing w:after="0" w:before="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Python  |  QGIS  |  Power BI  |  Tableau  |  ESG Data Governance  |  Audit Documentation  |  Geospatial Risk Mapping</w:t>
      </w:r>
    </w:p>
    <w:p>
      <w:pPr>
        <w:spacing w:after="40" w:before="0"/>
      </w:pPr>
    </w:p>
    <w:p>
      <w:pPr>
        <w:pBdr>
          <w:bottom w:val="single" w:color="1B3A5C" w:sz="3" w:space="2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B3A5C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Founder &amp; CEO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ClimRisk B.V., Netherlands  (climrisk.io)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Apr 2026 – Present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Climate financial risk intelligence platform; automated CSRD, TCFD, and IFRS S2 regulatory disclosures for enterprises.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the CRI Engine from scratch: quantifies annualised physical Capital-at-Risk across 10 hazard types under all IPCC SSP scenarios and transition risk via NGFS Phase 4 carbon price pathways; platform live at climrisk.io with full assessment in under 60 seconds; incorporated in the Netherlands (KVK 95420134, BTW NL004902017B42).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16 sector-specific hazard multipliers calibrated from CDP, WRI, and IEA publications; implemented automated TCFD, IFRS S2, CSRD/ESRS E1, and BRSR disclosure outputs with full audit trail; active pilot engagement with Morelli Consulting (UK-based sustainability advisory).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Climate Change &amp; Sustainability Lead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INHAF — ClimACT-Chennai Initiative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Oct 2025 – Present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Multi-stakeholder climate action platform; 7-sector climate framework addressing 380M+ at-risk livelihoods across India.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Designed climate risk research frameworks across 7 sectors, mapping physical hazard exposure (flood, heat, coastal erosion) to socioeconomic disruption; informed 3 municipal advisory engagements and contributed to Chennai's multi-stakeholder Climate Action Plan.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Built a 22-year longitudinal climate dataset for Chennai using QGIS and Python; coordinated data across 8 partner organisations spanning 5 sectors; producing policy-grade evidence on flood frequency and urban heat stress intensity.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Collaborator — Climate Risk &amp; Sustainability Policy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Municipality of Rotterdam (C40 ICAR)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Nov 2023 – Jul 2024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EU Mission on Adaptation signatory; C40 Cities ICAR programme integrating climate equity into long-term urban governance.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Conducted asset-level climate vulnerability assessments across 250 municipal properties, integrating flood/heat exposure, criticality, and performance degradation data via GIS; findings reported through CDP and directly informed Rotterdam's adaptation framework.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Identified 47 high-risk assets; produced audit-ready documentation (risk matrices, confidence intervals, methodological annexes) meeting EU public sector reproducibility standards for cross-departmental policy review cycles.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Graduate Apprentice — Carbon Accounting &amp; Environmental Sustainability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•  The Ramco Cements Ltd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2020 – May 2023</w:t>
      </w:r>
    </w:p>
    <w:p>
      <w:pPr>
        <w:spacing w:after="2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Integrated cement manufacturer; 11 plants; GreenPro eco-labelled, SBTi net-zero pathway, ISO 9001/14001/45001/50001 certified.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enterprise GHG inventory across 4 facilities (ISO 14064, ISO 14067, GHG Protocol, SBTi); quantified 450,000 tCO2e annually at 591 kg CO2/tonne; achieved 95% third-party verification accuracy with zero audit non-conformances.</w:t>
      </w:r>
    </w:p>
    <w:p>
      <w:pPr>
        <w:pStyle w:val="ListParagraph"/>
        <w:numPr>
          <w:ilvl w:val="0"/>
          <w:numId w:val="2"/>
        </w:numPr>
        <w:spacing w:after="35" w:before="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Led Scope 3 engagement across 54 tier-1 suppliers; conducted ISO 14067-compliant LCAs (OpenLCA/Ecoinvent) supporting GreenPro eco-label compliance; increased primary Scope 3 data coverage from 20% to 65%; modelled CBAM and carbon pricing transition risks under India's PAT scheme.</w:t>
      </w:r>
    </w:p>
    <w:p>
      <w:pPr>
        <w:spacing w:after="40" w:before="0"/>
      </w:pPr>
    </w:p>
    <w:p>
      <w:pPr>
        <w:pBdr>
          <w:bottom w:val="single" w:color="1B3A5C" w:sz="3" w:space="2"/>
        </w:pBdr>
        <w:spacing w:after="40" w:before="100"/>
      </w:pPr>
      <w:r>
        <w:rPr>
          <w:rFonts w:ascii="Calibri" w:cs="Calibri" w:eastAsia="Calibri" w:hAnsi="Calibri"/>
          <w:b/>
          <w:bCs/>
          <w:caps/>
          <w:color w:val="1B3A5C"/>
          <w:sz w:val="21"/>
          <w:szCs w:val="21"/>
        </w:rPr>
        <w:t xml:space="preserve">Education &amp; Certifications</w:t>
      </w:r>
    </w:p>
    <w:p>
      <w:pPr>
        <w:tabs>
          <w:tab w:val="right" w:pos="9026"/>
        </w:tabs>
        <w:spacing w:after="0" w:before="3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Oliver Wyman Climate Change Job Simulation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Forage — Financed Emissions, NGFS, Net-Zero Scenario Analysis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Apr 2026</w:t>
      </w:r>
    </w:p>
    <w:p>
      <w:pPr>
        <w:tabs>
          <w:tab w:val="right" w:pos="9026"/>
        </w:tabs>
        <w:spacing w:after="0" w:before="3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ISO 14067: Carbon Footprint of Products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Accredited Auditor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Active</w:t>
      </w:r>
    </w:p>
    <w:p>
      <w:pPr>
        <w:tabs>
          <w:tab w:val="right" w:pos="9026"/>
        </w:tabs>
        <w:spacing w:after="0" w:before="3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MSc Urban Environment, Sustainability &amp; Climate Change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Erasmus University Rotterdam, Netherlands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2023 – 2024</w:t>
      </w:r>
    </w:p>
    <w:p>
      <w:pPr>
        <w:tabs>
          <w:tab w:val="right" w:pos="9026"/>
        </w:tabs>
        <w:spacing w:after="0" w:before="35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MSc Geology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Manipal University, India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	2018 – 2020</w:t>
      </w:r>
    </w:p>
    <w:p>
      <w:pPr>
        <w:spacing w:after="40" w:before="0"/>
      </w:pPr>
    </w:p>
    <w:p>
      <w:pPr>
        <w:spacing w:after="0" w:before="0"/>
      </w:pPr>
      <w:r>
        <w:rPr>
          <w:rFonts w:ascii="Calibri" w:cs="Calibri" w:eastAsia="Calibri" w:hAnsi="Calibri"/>
          <w:b/>
          <w:bCs/>
          <w:color w:val="555555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Tamil (Native)  |  English (Proficient)  |  Hindi (Intermediate)  |  Dutch (Beginner)</w:t>
      </w:r>
    </w:p>
    <w:sectPr>
      <w:pgSz w:w="12240" w:h="15840" w:orient="portrait"/>
      <w:pgMar w:top="90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2026-05-06T14:25:25.293Z</dcterms:created>
  <dcterms:modified xsi:type="dcterms:W3CDTF">2026-05-06T14:25:25.293Z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