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olor w:val="1a3c5e"/>
          <w:sz w:val="56"/>
          <w:szCs w:val="56"/>
        </w:rPr>
        <w:t xml:space="preserve">ClimRisk</w:t>
      </w:r>
    </w:p>
    <w:p>
      <w:pPr>
        <w:spacing w:after="80" w:before="0"/>
      </w:pPr>
      <w:r>
        <w:rPr>
          <w:rFonts w:ascii="Arial" w:cs="Arial" w:eastAsia="Arial" w:hAnsi="Arial"/>
          <w:color w:val="22c55e"/>
          <w:sz w:val="26"/>
          <w:szCs w:val="26"/>
        </w:rPr>
        <w:t xml:space="preserve">Climate Risk Intelligence</w:t>
      </w:r>
    </w:p>
    <w:p>
      <w:r>
        <w:rPr>
          <w:rFonts w:ascii="Arial" w:cs="Arial" w:eastAsia="Arial" w:hAnsi="Arial"/>
          <w:sz w:val="22"/>
          <w:szCs w:val="22"/>
        </w:rPr>
        <w:t xml:space="preserve"/>
      </w:r>
    </w:p>
    <w:p>
      <w:pPr>
        <w:pBdr>
          <w:bottom w:val="single" w:color="1a3c5e" w:sz="8" w:space="8"/>
        </w:pBdr>
        <w:spacing w:after="240" w:before="120"/>
      </w:pPr>
      <w:r>
        <w:rPr>
          <w:sz w:val="22"/>
          <w:szCs w:val="22"/>
        </w:rPr>
        <w:t xml:space="preserve"/>
      </w:r>
    </w:p>
    <w:p>
      <w:pPr>
        <w:spacing w:after="80" w:before="240"/>
      </w:pPr>
      <w:r>
        <w:rPr>
          <w:rFonts w:ascii="Arial" w:cs="Arial" w:eastAsia="Arial" w:hAnsi="Arial"/>
          <w:b/>
          <w:bCs/>
          <w:color w:val="1a3c5e"/>
          <w:sz w:val="36"/>
          <w:szCs w:val="36"/>
        </w:rPr>
        <w:t xml:space="preserve">DATA PROCESSING AGREEMENT</w:t>
      </w:r>
    </w:p>
    <w:p>
      <w:pPr>
        <w:spacing w:after="240" w:before="0"/>
      </w:pPr>
      <w:r>
        <w:rPr>
          <w:rFonts w:ascii="Arial" w:cs="Arial" w:eastAsia="Arial" w:hAnsi="Arial"/>
          <w:color w:val="64748b"/>
          <w:sz w:val="22"/>
          <w:szCs w:val="22"/>
        </w:rPr>
        <w:t xml:space="preserve">GDPR Article 28 Compliant · Version 1.0 · 25 April 2026</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Between (Processor)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ClimRisk Limited (“ClimRisk”), a company providing climate financial risk intelligence services, contactable at hello@climrisk.io</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And (Controller)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LEGAL NAME] (“Client”), the entity executing this Agreement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EXECUTION]</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Governing Law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Agreement is governed by the laws of England and Wales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spacing w:after="160" w:before="320"/>
      </w:pPr>
      <w:r>
        <w:rPr>
          <w:rFonts w:ascii="Arial" w:cs="Arial" w:eastAsia="Arial" w:hAnsi="Arial"/>
          <w:b/>
          <w:bCs/>
          <w:color w:val="1a3c5e"/>
          <w:sz w:val="28"/>
          <w:szCs w:val="28"/>
        </w:rPr>
        <w:t xml:space="preserve">1. Definitions</w:t>
      </w:r>
    </w:p>
    <w:p>
      <w:pPr>
        <w:spacing w:after="120"/>
      </w:pPr>
      <w:r>
        <w:rPr>
          <w:rFonts w:ascii="Arial" w:cs="Arial" w:eastAsia="Arial" w:hAnsi="Arial"/>
          <w:sz w:val="22"/>
          <w:szCs w:val="22"/>
        </w:rPr>
        <w:t xml:space="preserve">In this Agreement, the following terms have the meanings ascribed below:</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Personal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information relating to an identified or identifiable natural person, as defined in Article 4(1) GDPR</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operation performed on Personal Data, including collection, storage, use, disclosure, erasure, or destruction</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Data 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Client, who determines the purposes and means of Processing Personal Data</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Data Processor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ClimRisk, who Processes Personal Data on behalf of the Controller</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GDPR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UK GDPR (as retained in UK law) and/or EU Regulation 2016/679, as applicable to the parties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Sub-processor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third party engaged by ClimRisk to carry out Processing activities on behalf of the Controller</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Data Breach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breach of security leading to accidental or unlawful destruction, loss, alteration, unauthorised disclosure of, or access to, Personal Data</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CRI Engine climate risk assessment platform provided by ClimRisk at climrisk.io</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2. Subject Matter and Duration</w:t>
      </w:r>
    </w:p>
    <w:p>
      <w:pPr>
        <w:pStyle w:val="Heading2"/>
        <w:spacing w:after="120" w:before="240"/>
      </w:pPr>
      <w:r>
        <w:rPr>
          <w:rFonts w:ascii="Arial" w:cs="Arial" w:eastAsia="Arial" w:hAnsi="Arial"/>
          <w:b/>
          <w:bCs/>
          <w:color w:val="1a3c5e"/>
          <w:sz w:val="24"/>
          <w:szCs w:val="24"/>
        </w:rPr>
        <w:t xml:space="preserve">2.1 Subject Matter</w:t>
      </w:r>
    </w:p>
    <w:p>
      <w:pPr>
        <w:spacing w:after="120"/>
      </w:pPr>
      <w:r>
        <w:rPr>
          <w:rFonts w:ascii="Arial" w:cs="Arial" w:eastAsia="Arial" w:hAnsi="Arial"/>
          <w:sz w:val="22"/>
          <w:szCs w:val="22"/>
        </w:rPr>
        <w:t xml:space="preserve">This Agreement governs the Processing of Personal Data by ClimRisk in connection with the provision of the Services to the Client, including climate risk assessments, loan portfolio analysis, regulatory reporting outputs, and related analytical services.</w:t>
      </w:r>
    </w:p>
    <w:p>
      <w:pPr>
        <w:pStyle w:val="Heading2"/>
        <w:spacing w:after="120" w:before="240"/>
      </w:pPr>
      <w:r>
        <w:rPr>
          <w:rFonts w:ascii="Arial" w:cs="Arial" w:eastAsia="Arial" w:hAnsi="Arial"/>
          <w:b/>
          <w:bCs/>
          <w:color w:val="1a3c5e"/>
          <w:sz w:val="24"/>
          <w:szCs w:val="24"/>
        </w:rPr>
        <w:t xml:space="preserve">2.2 Duration</w:t>
      </w:r>
    </w:p>
    <w:p>
      <w:pPr>
        <w:spacing w:after="120"/>
      </w:pPr>
      <w:r>
        <w:rPr>
          <w:rFonts w:ascii="Arial" w:cs="Arial" w:eastAsia="Arial" w:hAnsi="Arial"/>
          <w:sz w:val="22"/>
          <w:szCs w:val="22"/>
        </w:rPr>
        <w:t xml:space="preserve">This Agreement commences on the Effective Date and continues for the duration of the Services agreement between the parties. Upon termination, ClimRisk shall delete or return all Personal Data in accordance with Clause 9 of this Agreement.</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3. Nature, Purpose, and Scope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Nature of 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storage, analysis, and reporting of data uploaded by the Client to the CRI Engine platform</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provide climate financial risk assessments, physical and transition risk scoring, regulatory disclosure outputs (TCFD, IFRS S2, CSRD, ECB/EBA), and loan portfolio ECL analysis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Categories of Personal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contact details of employees (name, work email, job title, company); asset location data; financial data; borrower portfolio identifiers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Categories of Data Subjects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employees who access the platform; borrowers or counterparties whose data the Client uploads for portfolio assessment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Retention 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Data is retained for the duration of the Services agreement plus 30 days. Trial user data is deleted 37 days after trial expiry unless converted to a paid subscription.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4. Obligations of ClimRisk as Data Processor</w:t>
      </w:r>
    </w:p>
    <w:p>
      <w:pPr>
        <w:pStyle w:val="Heading2"/>
        <w:spacing w:after="120" w:before="240"/>
      </w:pPr>
      <w:r>
        <w:rPr>
          <w:rFonts w:ascii="Arial" w:cs="Arial" w:eastAsia="Arial" w:hAnsi="Arial"/>
          <w:b/>
          <w:bCs/>
          <w:color w:val="1a3c5e"/>
          <w:sz w:val="24"/>
          <w:szCs w:val="24"/>
        </w:rPr>
        <w:t xml:space="preserve">4.1 Processing on Instructions Only</w:t>
      </w:r>
    </w:p>
    <w:p>
      <w:pPr>
        <w:spacing w:after="120"/>
      </w:pPr>
      <w:r>
        <w:rPr>
          <w:rFonts w:ascii="Arial" w:cs="Arial" w:eastAsia="Arial" w:hAnsi="Arial"/>
          <w:sz w:val="22"/>
          <w:szCs w:val="22"/>
        </w:rPr>
        <w:t xml:space="preserve">ClimRisk shall Process Personal Data only on documented instructions from the Client, including with regard to transfers of Personal Data to a third country or an international organisation, unless required to do so by applicable law.</w:t>
      </w:r>
    </w:p>
    <w:p>
      <w:pPr>
        <w:pStyle w:val="Heading2"/>
        <w:spacing w:after="120" w:before="240"/>
      </w:pPr>
      <w:r>
        <w:rPr>
          <w:rFonts w:ascii="Arial" w:cs="Arial" w:eastAsia="Arial" w:hAnsi="Arial"/>
          <w:b/>
          <w:bCs/>
          <w:color w:val="1a3c5e"/>
          <w:sz w:val="24"/>
          <w:szCs w:val="24"/>
        </w:rPr>
        <w:t xml:space="preserve">4.2 Confidentiality</w:t>
      </w:r>
    </w:p>
    <w:p>
      <w:pPr>
        <w:spacing w:after="120"/>
      </w:pPr>
      <w:r>
        <w:rPr>
          <w:rFonts w:ascii="Arial" w:cs="Arial" w:eastAsia="Arial" w:hAnsi="Arial"/>
          <w:sz w:val="22"/>
          <w:szCs w:val="22"/>
        </w:rPr>
        <w:t xml:space="preserve">ClimRisk shall ensure that persons authorised to Process Personal Data have committed themselves to confidentiality or are under an appropriate statutory obligation of confidentiality.</w:t>
      </w:r>
    </w:p>
    <w:p>
      <w:pPr>
        <w:pStyle w:val="Heading2"/>
        <w:spacing w:after="120" w:before="240"/>
      </w:pPr>
      <w:r>
        <w:rPr>
          <w:rFonts w:ascii="Arial" w:cs="Arial" w:eastAsia="Arial" w:hAnsi="Arial"/>
          <w:b/>
          <w:bCs/>
          <w:color w:val="1a3c5e"/>
          <w:sz w:val="24"/>
          <w:szCs w:val="24"/>
        </w:rPr>
        <w:t xml:space="preserve">4.3 Security Measures</w:t>
      </w:r>
    </w:p>
    <w:p>
      <w:pPr>
        <w:spacing w:after="120"/>
      </w:pPr>
      <w:r>
        <w:rPr>
          <w:rFonts w:ascii="Arial" w:cs="Arial" w:eastAsia="Arial" w:hAnsi="Arial"/>
          <w:sz w:val="22"/>
          <w:szCs w:val="22"/>
        </w:rPr>
        <w:t xml:space="preserve">ClimRisk shall implement appropriate technical and organisational measures to ensure a level of security appropriate to the risk, including: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Encryption in transit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transmitted to and from the CRI Engine is encrypted using TLS 1.2 or higher</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Encryption at rest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records are encrypted at rest using AES-256 via Supabase (PostgreSQL)</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Access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controls; principle of least privilege applied to all system accounts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Token-based authentication for platform access; tokens are signed and validated server-side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Row Level Security (RLS) applied to all database tables; access logs retained for 90 days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Vulnerability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 reviewed and updated on a quarterly basis; critical patches applied within 72 hours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spacing w:after="120" w:before="240"/>
      </w:pPr>
      <w:r>
        <w:rPr>
          <w:rFonts w:ascii="Arial" w:cs="Arial" w:eastAsia="Arial" w:hAnsi="Arial"/>
          <w:b/>
          <w:bCs/>
          <w:color w:val="1a3c5e"/>
          <w:sz w:val="24"/>
          <w:szCs w:val="24"/>
        </w:rPr>
        <w:t xml:space="preserve">4.4 Sub-processors</w:t>
      </w:r>
    </w:p>
    <w:p>
      <w:pPr>
        <w:spacing w:after="120"/>
      </w:pPr>
      <w:r>
        <w:rPr>
          <w:rFonts w:ascii="Arial" w:cs="Arial" w:eastAsia="Arial" w:hAnsi="Arial"/>
          <w:sz w:val="22"/>
          <w:szCs w:val="22"/>
        </w:rPr>
        <w:t xml:space="preserve">The Client authorises ClimRisk to engage the following Sub-processors: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Sub-processor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 / Location</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Supabase Inc. (USA)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hosting and authentication — trial and subscription records, licence tokens. Data stored on AWS eu-west-1 (Ireland) where available. DPA: https://supabase.com/privacy</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GitHub Inc. (USA)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asset hosting via GitHub Pages. No Personal Data is stored on GitHub infrastructure. DPA: https://docs.github.com/en/site-policy/privacy-policies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Stripe Inc. (USA)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 name, email, payment method. Stripe is PCI DSS Level 1 certified. DPA: https://stripe.com/en-gb/privacy</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ClimRisk shall notify the Client of any intended changes concerning the addition or replacement of Sub-processors, giving the Client the opportunity to object to such changes within 14 days.</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5. International Data Transfers</w:t>
      </w:r>
    </w:p>
    <w:p>
      <w:pPr>
        <w:spacing w:after="120"/>
      </w:pPr>
      <w:r>
        <w:rPr>
          <w:rFonts w:ascii="Arial" w:cs="Arial" w:eastAsia="Arial" w:hAnsi="Arial"/>
          <w:sz w:val="22"/>
          <w:szCs w:val="22"/>
        </w:rPr>
        <w:t xml:space="preserve">Where Personal Data is transferred to countries outside the UK or EEA (including transfers to US-based Sub-processors), ClimRisk shall ensure that such transfers are made subject to appropriate safeguards, including:</w:t>
      </w:r>
    </w:p>
    <w:p>
      <w:pPr>
        <w:spacing w:after="120"/>
      </w:pPr>
      <w:r>
        <w:rPr>
          <w:rFonts w:ascii="Arial" w:cs="Arial" w:eastAsia="Arial" w:hAnsi="Arial"/>
          <w:sz w:val="22"/>
          <w:szCs w:val="22"/>
        </w:rPr>
        <w:t xml:space="preserve">(a) Standard Contractual Clauses (SCCs) as approved by the European Commission or UK ICO, as applicable;</w:t>
      </w:r>
    </w:p>
    <w:p>
      <w:pPr>
        <w:spacing w:after="120"/>
      </w:pPr>
      <w:r>
        <w:rPr>
          <w:rFonts w:ascii="Arial" w:cs="Arial" w:eastAsia="Arial" w:hAnsi="Arial"/>
          <w:sz w:val="22"/>
          <w:szCs w:val="22"/>
        </w:rPr>
        <w:t xml:space="preserve">(b) Binding Corporate Rules where applicable;</w:t>
      </w:r>
    </w:p>
    <w:p>
      <w:pPr>
        <w:spacing w:after="120"/>
      </w:pPr>
      <w:r>
        <w:rPr>
          <w:rFonts w:ascii="Arial" w:cs="Arial" w:eastAsia="Arial" w:hAnsi="Arial"/>
          <w:sz w:val="22"/>
          <w:szCs w:val="22"/>
        </w:rPr>
        <w:t xml:space="preserve">(c) An adequacy decision by the relevant supervisory authority.</w:t>
      </w:r>
    </w:p>
    <w:p>
      <w:pPr>
        <w:spacing w:after="120"/>
      </w:pPr>
      <w:r>
        <w:rPr>
          <w:rFonts w:ascii="Arial" w:cs="Arial" w:eastAsia="Arial" w:hAnsi="Arial"/>
          <w:sz w:val="22"/>
          <w:szCs w:val="22"/>
        </w:rPr>
        <w:t xml:space="preserve">The primary transfer mechanism for Supabase and Stripe is the EU-US Data Privacy Framework (where applicable) and/or SCCs.</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6. Assistance with Data Subject Rights</w:t>
      </w:r>
    </w:p>
    <w:p>
      <w:pPr>
        <w:spacing w:after="120"/>
      </w:pPr>
      <w:r>
        <w:rPr>
          <w:rFonts w:ascii="Arial" w:cs="Arial" w:eastAsia="Arial" w:hAnsi="Arial"/>
          <w:sz w:val="22"/>
          <w:szCs w:val="22"/>
        </w:rPr>
        <w:t xml:space="preserve">ClimRisk shall, taking into account the nature of the Processing, assist the Client by appropriate technical and organisational measures, insofar as this is possible, for the fulfilment of the Client's obligations to respond to requests for exercising data subjects' rights, including:</w:t>
      </w:r>
    </w:p>
    <w:p>
      <w:pPr>
        <w:spacing w:after="120"/>
      </w:pPr>
      <w:r>
        <w:rPr>
          <w:rFonts w:ascii="Arial" w:cs="Arial" w:eastAsia="Arial" w:hAnsi="Arial"/>
          <w:sz w:val="22"/>
          <w:szCs w:val="22"/>
        </w:rPr>
        <w:t xml:space="preserve">(a) Right of access (Article 15 GDPR)</w:t>
      </w:r>
    </w:p>
    <w:p>
      <w:pPr>
        <w:spacing w:after="120"/>
      </w:pPr>
      <w:r>
        <w:rPr>
          <w:rFonts w:ascii="Arial" w:cs="Arial" w:eastAsia="Arial" w:hAnsi="Arial"/>
          <w:sz w:val="22"/>
          <w:szCs w:val="22"/>
        </w:rPr>
        <w:t xml:space="preserve">(b) Right to rectification (Article 16 GDPR)</w:t>
      </w:r>
    </w:p>
    <w:p>
      <w:pPr>
        <w:spacing w:after="120"/>
      </w:pPr>
      <w:r>
        <w:rPr>
          <w:rFonts w:ascii="Arial" w:cs="Arial" w:eastAsia="Arial" w:hAnsi="Arial"/>
          <w:sz w:val="22"/>
          <w:szCs w:val="22"/>
        </w:rPr>
        <w:t xml:space="preserve">(c) Right to erasure ('right to be forgotten') (Article 17 GDPR)</w:t>
      </w:r>
    </w:p>
    <w:p>
      <w:pPr>
        <w:spacing w:after="120"/>
      </w:pPr>
      <w:r>
        <w:rPr>
          <w:rFonts w:ascii="Arial" w:cs="Arial" w:eastAsia="Arial" w:hAnsi="Arial"/>
          <w:sz w:val="22"/>
          <w:szCs w:val="22"/>
        </w:rPr>
        <w:t xml:space="preserve">(d) Right to restriction of Processing (Article 18 GDPR)</w:t>
      </w:r>
    </w:p>
    <w:p>
      <w:pPr>
        <w:spacing w:after="120"/>
      </w:pPr>
      <w:r>
        <w:rPr>
          <w:rFonts w:ascii="Arial" w:cs="Arial" w:eastAsia="Arial" w:hAnsi="Arial"/>
          <w:sz w:val="22"/>
          <w:szCs w:val="22"/>
        </w:rPr>
        <w:t xml:space="preserve">(e) Right to data portability (Article 20 GDPR)</w:t>
      </w:r>
    </w:p>
    <w:p>
      <w:pPr>
        <w:spacing w:after="120"/>
      </w:pPr>
      <w:r>
        <w:rPr>
          <w:rFonts w:ascii="Arial" w:cs="Arial" w:eastAsia="Arial" w:hAnsi="Arial"/>
          <w:sz w:val="22"/>
          <w:szCs w:val="22"/>
        </w:rPr>
        <w:t xml:space="preserve">(f) Right to object (Article 21 GDPR)</w:t>
      </w:r>
    </w:p>
    <w:p>
      <w:pPr>
        <w:spacing w:after="120"/>
      </w:pPr>
      <w:r>
        <w:rPr>
          <w:rFonts w:ascii="Arial" w:cs="Arial" w:eastAsia="Arial" w:hAnsi="Arial"/>
          <w:sz w:val="22"/>
          <w:szCs w:val="22"/>
        </w:rPr>
        <w:t xml:space="preserve">ClimRisk shall promptly notify the Client if it receives a request from a data subject and shall not respond to such requests except on the documented instructions of the Client.</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7. Personal Data Breach Notification</w:t>
      </w:r>
    </w:p>
    <w:p>
      <w:pPr>
        <w:spacing w:after="120"/>
      </w:pPr>
      <w:r>
        <w:rPr>
          <w:rFonts w:ascii="Arial" w:cs="Arial" w:eastAsia="Arial" w:hAnsi="Arial"/>
          <w:sz w:val="22"/>
          <w:szCs w:val="22"/>
        </w:rPr>
        <w:t xml:space="preserve">In the event of a Data Breach affecting Personal Data Processed under this Agreement, ClimRisk shall:</w:t>
      </w:r>
    </w:p>
    <w:p>
      <w:pPr>
        <w:spacing w:after="120"/>
      </w:pPr>
      <w:r>
        <w:rPr>
          <w:rFonts w:ascii="Arial" w:cs="Arial" w:eastAsia="Arial" w:hAnsi="Arial"/>
          <w:sz w:val="22"/>
          <w:szCs w:val="22"/>
        </w:rPr>
        <w:t xml:space="preserve">(a) Notify the Client without undue delay and within 24 hours of becoming aware of the Data Breach;</w:t>
      </w:r>
    </w:p>
    <w:p>
      <w:pPr>
        <w:spacing w:after="120"/>
      </w:pPr>
      <w:r>
        <w:rPr>
          <w:rFonts w:ascii="Arial" w:cs="Arial" w:eastAsia="Arial" w:hAnsi="Arial"/>
          <w:sz w:val="22"/>
          <w:szCs w:val="22"/>
        </w:rPr>
        <w:t xml:space="preserve">(b) Provide the Client with sufficient information to allow it to meet any obligations to report the Data Breach to the relevant supervisory authority (ICO / relevant EU DPA) within 72 hours of becoming aware of the breach;</w:t>
      </w:r>
    </w:p>
    <w:p>
      <w:pPr>
        <w:spacing w:after="120"/>
      </w:pPr>
      <w:r>
        <w:rPr>
          <w:rFonts w:ascii="Arial" w:cs="Arial" w:eastAsia="Arial" w:hAnsi="Arial"/>
          <w:sz w:val="22"/>
          <w:szCs w:val="22"/>
        </w:rPr>
        <w:t xml:space="preserve">(c) Cooperate with the Client and take such reasonable commercial steps as directed by the Client to assist in the investigation, mitigation, and remediation of each such Data Breach.</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8. Audits and Inspections</w:t>
      </w:r>
    </w:p>
    <w:p>
      <w:pPr>
        <w:spacing w:after="120"/>
      </w:pPr>
      <w:r>
        <w:rPr>
          <w:rFonts w:ascii="Arial" w:cs="Arial" w:eastAsia="Arial" w:hAnsi="Arial"/>
          <w:sz w:val="22"/>
          <w:szCs w:val="22"/>
        </w:rPr>
        <w:t xml:space="preserve">ClimRisk shall make available to the Client all information necessary to demonstrate compliance with the obligations laid down in this Agreement and allow for and contribute to audits, including inspections, conducted by the Client or an auditor mandated by the Client.</w:t>
      </w:r>
    </w:p>
    <w:p>
      <w:pPr>
        <w:spacing w:after="120"/>
      </w:pPr>
      <w:r>
        <w:rPr>
          <w:rFonts w:ascii="Arial" w:cs="Arial" w:eastAsia="Arial" w:hAnsi="Arial"/>
          <w:sz w:val="22"/>
          <w:szCs w:val="22"/>
        </w:rPr>
        <w:t xml:space="preserve">The Client shall give ClimRisk reasonable notice of any audit or inspection (minimum 14 days) and shall not conduct more than one audit per calendar year unless there is a reasonable basis to suspect a Data Breach or material non-compliance.</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9. Deletion and Return of Personal Data</w:t>
      </w:r>
    </w:p>
    <w:p>
      <w:pPr>
        <w:spacing w:after="120"/>
      </w:pPr>
      <w:r>
        <w:rPr>
          <w:rFonts w:ascii="Arial" w:cs="Arial" w:eastAsia="Arial" w:hAnsi="Arial"/>
          <w:sz w:val="22"/>
          <w:szCs w:val="22"/>
        </w:rPr>
        <w:t xml:space="preserve">Upon termination or expiry of the Services agreement, ClimRisk shall, at the Client's choice:</w:t>
      </w:r>
    </w:p>
    <w:p>
      <w:pPr>
        <w:spacing w:after="120"/>
      </w:pPr>
      <w:r>
        <w:rPr>
          <w:rFonts w:ascii="Arial" w:cs="Arial" w:eastAsia="Arial" w:hAnsi="Arial"/>
          <w:sz w:val="22"/>
          <w:szCs w:val="22"/>
        </w:rPr>
        <w:t xml:space="preserve">(a) Delete all Personal Data and certify in writing that deletion has been completed within 30 days; or</w:t>
      </w:r>
    </w:p>
    <w:p>
      <w:pPr>
        <w:spacing w:after="120"/>
      </w:pPr>
      <w:r>
        <w:rPr>
          <w:rFonts w:ascii="Arial" w:cs="Arial" w:eastAsia="Arial" w:hAnsi="Arial"/>
          <w:sz w:val="22"/>
          <w:szCs w:val="22"/>
        </w:rPr>
        <w:t xml:space="preserve">(b) Return all Personal Data to the Client in a portable, machine-readable format (CSV/JSON) within 30 days.</w:t>
      </w:r>
    </w:p>
    <w:p>
      <w:pPr>
        <w:spacing w:after="120"/>
      </w:pPr>
      <w:r>
        <w:rPr>
          <w:rFonts w:ascii="Arial" w:cs="Arial" w:eastAsia="Arial" w:hAnsi="Arial"/>
          <w:sz w:val="22"/>
          <w:szCs w:val="22"/>
        </w:rPr>
        <w:t xml:space="preserve">ClimRisk shall retain copies of Personal Data only to the extent required by applicable law, and shall notify the Client of any such requirement.</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10. Liability</w:t>
      </w:r>
    </w:p>
    <w:p>
      <w:pPr>
        <w:spacing w:after="120"/>
      </w:pPr>
      <w:r>
        <w:rPr>
          <w:rFonts w:ascii="Arial" w:cs="Arial" w:eastAsia="Arial" w:hAnsi="Arial"/>
          <w:sz w:val="22"/>
          <w:szCs w:val="22"/>
        </w:rPr>
        <w:t xml:space="preserve">Each party's liability to the other under or in connection with this Agreement shall be subject to the limitations set out in the main Services agreement between the parties. To the maximum extent permitted by applicable law, ClimRisk's aggregate liability under this Agreement shall not exceed the total fees paid by the Client in the 12 months preceding the event giving rise to the claim.</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11. Execution</w:t>
      </w:r>
    </w:p>
    <w:p>
      <w:pPr>
        <w:spacing w:after="120"/>
      </w:pPr>
      <w:r>
        <w:rPr>
          <w:rFonts w:ascii="Arial" w:cs="Arial" w:eastAsia="Arial" w:hAnsi="Arial"/>
          <w:sz w:val="22"/>
          <w:szCs w:val="22"/>
        </w:rPr>
        <w:t xml:space="preserve">This Agreement is entered into by the authorised representatives of each party as of the Effective Date.</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FOR CLIMRISK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CLIENT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Signed: _______________________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_______________________</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Name: Shrinivashdkannan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_______________________</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Title: Founder &amp; CEO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_______________________</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Date: _______________________</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_______________________</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Email: shri@climrisk.io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_______________________</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Appendix A — Technical and Organisational Security Measures</w:t>
      </w:r>
    </w:p>
    <w:p>
      <w:pPr>
        <w:pStyle w:val="Heading2"/>
        <w:spacing w:after="120" w:before="240"/>
      </w:pPr>
      <w:r>
        <w:rPr>
          <w:rFonts w:ascii="Arial" w:cs="Arial" w:eastAsia="Arial" w:hAnsi="Arial"/>
          <w:b/>
          <w:bCs/>
          <w:color w:val="1a3c5e"/>
          <w:sz w:val="24"/>
          <w:szCs w:val="24"/>
        </w:rPr>
        <w:t xml:space="preserve">A.1 Infrastructure Security</w:t>
      </w:r>
    </w:p>
    <w:p>
      <w:pPr>
        <w:spacing w:after="120"/>
      </w:pPr>
      <w:r>
        <w:rPr>
          <w:rFonts w:ascii="Arial" w:cs="Arial" w:eastAsia="Arial" w:hAnsi="Arial"/>
          <w:sz w:val="22"/>
          <w:szCs w:val="22"/>
        </w:rPr>
        <w:t xml:space="preserve">The CRI Engine is hosted on GitHub Pages (static assets) and Supabase (database/API). Both platforms maintain SOC 2 Type II certification and ISO 27001 compliance. Network traffic is routed through Cloudflare's global network, providing DDoS protection, WAF (Web Application Firewall), and TLS termination.</w:t>
      </w:r>
    </w:p>
    <w:p>
      <w:pPr>
        <w:pStyle w:val="Heading2"/>
        <w:spacing w:after="120" w:before="240"/>
      </w:pPr>
      <w:r>
        <w:rPr>
          <w:rFonts w:ascii="Arial" w:cs="Arial" w:eastAsia="Arial" w:hAnsi="Arial"/>
          <w:b/>
          <w:bCs/>
          <w:color w:val="1a3c5e"/>
          <w:sz w:val="24"/>
          <w:szCs w:val="24"/>
        </w:rPr>
        <w:t xml:space="preserve">A.2 Data Minimisation</w:t>
      </w:r>
    </w:p>
    <w:p>
      <w:pPr>
        <w:spacing w:after="120"/>
      </w:pPr>
      <w:r>
        <w:rPr>
          <w:rFonts w:ascii="Arial" w:cs="Arial" w:eastAsia="Arial" w:hAnsi="Arial"/>
          <w:sz w:val="22"/>
          <w:szCs w:val="22"/>
        </w:rPr>
        <w:t xml:space="preserve">ClimRisk collects only the minimum Personal Data necessary for the provision of the Services. Trial signups capture name, work email, and company name only. No financial data or portfolio data is stored on ClimRisk's infrastructure — all such data is processed client-side in the user's browser and not transmitted to ClimRisk's servers.</w:t>
      </w:r>
    </w:p>
    <w:p>
      <w:pPr>
        <w:pStyle w:val="Heading2"/>
        <w:spacing w:after="120" w:before="240"/>
      </w:pPr>
      <w:r>
        <w:rPr>
          <w:rFonts w:ascii="Arial" w:cs="Arial" w:eastAsia="Arial" w:hAnsi="Arial"/>
          <w:b/>
          <w:bCs/>
          <w:color w:val="1a3c5e"/>
          <w:sz w:val="24"/>
          <w:szCs w:val="24"/>
        </w:rPr>
        <w:t xml:space="preserve">A.3 Access Controls</w:t>
      </w:r>
    </w:p>
    <w:p>
      <w:pPr>
        <w:spacing w:after="120"/>
      </w:pPr>
      <w:r>
        <w:rPr>
          <w:rFonts w:ascii="Arial" w:cs="Arial" w:eastAsia="Arial" w:hAnsi="Arial"/>
          <w:sz w:val="22"/>
          <w:szCs w:val="22"/>
        </w:rPr>
        <w:t xml:space="preserve">Production database access is restricted to authorised ClimRisk personnel via Supabase's Role-Based Access Control (RBAC). Row Level Security (RLS) policies ensure that users can only access their own records. Service role keys are stored as environment variables and never exposed in client-side code.</w:t>
      </w:r>
    </w:p>
    <w:p>
      <w:pPr>
        <w:pStyle w:val="Heading2"/>
        <w:spacing w:after="120" w:before="240"/>
      </w:pPr>
      <w:r>
        <w:rPr>
          <w:rFonts w:ascii="Arial" w:cs="Arial" w:eastAsia="Arial" w:hAnsi="Arial"/>
          <w:b/>
          <w:bCs/>
          <w:color w:val="1a3c5e"/>
          <w:sz w:val="24"/>
          <w:szCs w:val="24"/>
        </w:rPr>
        <w:t xml:space="preserve">A.4 Penetration Testing</w:t>
      </w:r>
    </w:p>
    <w:p>
      <w:pPr>
        <w:spacing w:after="120"/>
      </w:pPr>
      <w:r>
        <w:rPr>
          <w:rFonts w:ascii="Arial" w:cs="Arial" w:eastAsia="Arial" w:hAnsi="Arial"/>
          <w:sz w:val="22"/>
          <w:szCs w:val="22"/>
        </w:rPr>
        <w:t xml:space="preserve">ClimRisk commits to conducting or commissioning an annual penetration test of the CRI Engine platform, with results made available to the Client upon written request, subject to appropriate confidentiality arrangements.</w:t>
      </w:r>
    </w:p>
    <w:p>
      <w:r>
        <w:rPr>
          <w:rFonts w:ascii="Arial" w:cs="Arial" w:eastAsia="Arial" w:hAnsi="Arial"/>
          <w:sz w:val="22"/>
          <w:szCs w:val="22"/>
        </w:rPr>
        <w:t xml:space="preserve"/>
      </w:r>
    </w:p>
    <w:p>
      <w:pPr>
        <w:pStyle w:val="Heading1"/>
        <w:spacing w:after="160" w:before="320"/>
      </w:pPr>
      <w:r>
        <w:rPr>
          <w:rFonts w:ascii="Arial" w:cs="Arial" w:eastAsia="Arial" w:hAnsi="Arial"/>
          <w:b/>
          <w:bCs/>
          <w:color w:val="1a3c5e"/>
          <w:sz w:val="28"/>
          <w:szCs w:val="28"/>
        </w:rPr>
        <w:t xml:space="preserve">Appendix B — Methodology Audit Trail</w:t>
      </w:r>
    </w:p>
    <w:p>
      <w:pPr>
        <w:pStyle w:val="Heading2"/>
        <w:spacing w:after="120" w:before="240"/>
      </w:pPr>
      <w:r>
        <w:rPr>
          <w:rFonts w:ascii="Arial" w:cs="Arial" w:eastAsia="Arial" w:hAnsi="Arial"/>
          <w:b/>
          <w:bCs/>
          <w:color w:val="1a3c5e"/>
          <w:sz w:val="24"/>
          <w:szCs w:val="24"/>
        </w:rPr>
        <w:t xml:space="preserve">B.1 Purpose</w:t>
      </w:r>
    </w:p>
    <w:p>
      <w:pPr>
        <w:spacing w:after="120"/>
      </w:pPr>
      <w:r>
        <w:rPr>
          <w:rFonts w:ascii="Arial" w:cs="Arial" w:eastAsia="Arial" w:hAnsi="Arial"/>
          <w:sz w:val="22"/>
          <w:szCs w:val="22"/>
        </w:rPr>
        <w:t xml:space="preserve">This appendix describes the audit trail capabilities of the CRI Engine for the purposes of regulatory transparency and supervisory review.</w:t>
      </w:r>
    </w:p>
    <w:p>
      <w:pPr>
        <w:pStyle w:val="Heading2"/>
        <w:spacing w:after="120" w:before="240"/>
      </w:pPr>
      <w:r>
        <w:rPr>
          <w:rFonts w:ascii="Arial" w:cs="Arial" w:eastAsia="Arial" w:hAnsi="Arial"/>
          <w:b/>
          <w:bCs/>
          <w:color w:val="1a3c5e"/>
          <w:sz w:val="24"/>
          <w:szCs w:val="24"/>
        </w:rPr>
        <w:t xml:space="preserve">B.2 Assessment Provenance</w:t>
      </w:r>
    </w:p>
    <w:p>
      <w:pPr>
        <w:spacing w:after="120"/>
      </w:pPr>
      <w:r>
        <w:rPr>
          <w:rFonts w:ascii="Arial" w:cs="Arial" w:eastAsia="Arial" w:hAnsi="Arial"/>
          <w:sz w:val="22"/>
          <w:szCs w:val="22"/>
        </w:rPr>
        <w:t xml:space="preserve">Every climate risk assessment generated by the CRI Engine carries the following provenance metadata:</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Model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 Engine v0.2 (version increments with material methodology changes)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Assessment timestamp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UTC timestamp recorded at time of analysis run</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NGFS/IPCC SSP scenario applied (SSP1-2.6, SSP2-4.5, SSP3-7.0, SSP5-8.5)</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Assessment 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Forward-looking horizon (2030, 2040, or 2050)</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Data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Per-hazard source citations included in all output reports</w:t>
            </w:r>
          </w:p>
        </w:tc>
      </w:tr>
    </w:tbl>
    <w:p>
      <w:pPr>
        <w:pStyle w:val="Heading2"/>
        <w:spacing w:after="120" w:before="240"/>
      </w:pPr>
      <w:r>
        <w:rPr>
          <w:rFonts w:ascii="Arial" w:cs="Arial" w:eastAsia="Arial" w:hAnsi="Arial"/>
          <w:b/>
          <w:bCs/>
          <w:color w:val="1a3c5e"/>
          <w:sz w:val="24"/>
          <w:szCs w:val="24"/>
        </w:rPr>
        <w:t xml:space="preserve">B.3 Per-Hazard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Hazard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Source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Water Stress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 Aqueduct 4.0 (2023 release); IPCC AR6 WG2 Chapter 4</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Riverine Flood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 Aqueduct 4.0; Clausius-Clapeyron scaling (7% per °C warming)</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Coastal Flood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 Aqueduct Coastal v1.0; IPCC AR6 Chapter 9 SLR projections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Sea Level Rise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IPCC AR6 Chapter 9; NOAA tide gauge calibration; coastal amplification factors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Heat Stress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NASA NEX-GDDP-CMIP6; IPCC AR6 WG1 Chapter 11.3</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Water Scarcity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 Aqueduct 4.0 baseline water stress index</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Wildfire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Canadian Forest Fire Weather Index (FWI); IPCC AR6 WG2 Chapter 12</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Tropical Cyclone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IPCC AR6 WG1 Chapter 11.7; historical IBTrACS track data</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Landslide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IPCC AR6 WG2 Chapter 5; SRTM 30m DEM elevation proxy</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Saltwater Intrusion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IPCC AR6 WG2 Chapter 4; WRI Aqueduct coastal; elevation-SLR model</w:t>
            </w:r>
          </w:p>
        </w:tc>
      </w:tr>
    </w:tbl>
    <w:p>
      <w:pPr>
        <w:pStyle w:val="Heading2"/>
        <w:spacing w:after="120" w:before="240"/>
      </w:pPr>
      <w:r>
        <w:rPr>
          <w:rFonts w:ascii="Arial" w:cs="Arial" w:eastAsia="Arial" w:hAnsi="Arial"/>
          <w:b/>
          <w:bCs/>
          <w:color w:val="1a3c5e"/>
          <w:sz w:val="24"/>
          <w:szCs w:val="24"/>
        </w:rPr>
        <w:t xml:space="preserve">B.4 Downloadable Audit Trail</w:t>
      </w:r>
    </w:p>
    <w:p>
      <w:pPr>
        <w:spacing w:after="120"/>
      </w:pPr>
      <w:r>
        <w:rPr>
          <w:rFonts w:ascii="Arial" w:cs="Arial" w:eastAsia="Arial" w:hAnsi="Arial"/>
          <w:sz w:val="22"/>
          <w:szCs w:val="22"/>
        </w:rPr>
        <w:t xml:space="preserve">The CRI Engine provides a downloadable Excel audit trail from the Physical Risk panel and Loan Portfolio panel. This file contains: assessment metadata, per-asset hazard scores with source citations, calculation inputs (region, latitude/longitude, elevation proxy, land cover), and the full scoring methodology notes for each hazard type. This file is suitable for submission to regulators including the ECB, FCA, PRA, and relevant national competent authorities under CSRD.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4a3b8"/>
        <w:sz w:val="16"/>
        <w:szCs w:val="16"/>
      </w:rPr>
      <w:t xml:space="preserve">© 2026 ClimRisk. All rights reserved. | hello@climrisk.io | climrisk.io</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tabs>
        <w:tab w:val="right" w:pos="9026"/>
      </w:tabs>
    </w:pPr>
    <w:r>
      <w:rPr>
        <w:rFonts w:ascii="Arial" w:cs="Arial" w:eastAsia="Arial" w:hAnsi="Arial"/>
        <w:color w:val="64748b"/>
        <w:sz w:val="18"/>
        <w:szCs w:val="18"/>
      </w:rPr>
      <w:t xml:space="preserve">ClimRisk · Data Processing Agreement · CONFIDENTIAL</w:t>
    </w:r>
    <w:r>
      <w:rPr>
        <w:rFonts w:ascii="Arial" w:cs="Arial" w:eastAsia="Arial" w:hAnsi="Arial"/>
        <w:color w:val="64748b"/>
        <w:sz w:val="18"/>
        <w:szCs w:val="18"/>
      </w:rPr>
      <w:t xml:space="preserve">	25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2026-04-25T12:55:15.095Z</dcterms:created>
  <dcterms:modified xsi:type="dcterms:W3CDTF">2026-04-25T12:55:15.096Z</dcterms:modified>
</cp:coreProperties>
</file>

<file path=docProps/custom.xml><?xml version="1.0" encoding="utf-8"?>
<Properties xmlns="http://schemas.openxmlformats.org/officeDocument/2006/custom-properties" xmlns:vt="http://schemas.openxmlformats.org/officeDocument/2006/docPropsVTypes"/>
</file>