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A1A1A"/>
          <w:sz w:val="32"/>
          <w:szCs w:val="32"/>
        </w:rPr>
        <w:t xml:space="preserve">SHRINIVASH DHAMODHARA KANNAN</w:t>
      </w:r>
    </w:p>
    <w:p>
      <w:pPr>
        <w:spacing w:after="20"/>
        <w:jc w:val="center"/>
      </w:pPr>
      <w:r>
        <w:rPr>
          <w:rFonts w:ascii="Calibri" w:cs="Calibri" w:eastAsia="Calibri" w:hAnsi="Calibri"/>
          <w:color w:val="555555"/>
          <w:sz w:val="19"/>
          <w:szCs w:val="19"/>
        </w:rPr>
        <w:t xml:space="preserve">ESG Data Analyst  |  Sustainability Research  |  Annual Report Analysis</w:t>
      </w:r>
    </w:p>
    <w:p>
      <w:pPr>
        <w:spacing w:after="80"/>
        <w:jc w:val="center"/>
      </w:pPr>
      <w:r>
        <w:rPr>
          <w:rFonts w:ascii="Calibri" w:cs="Calibri" w:eastAsia="Calibri" w:hAnsi="Calibri"/>
          <w:color w:val="555555"/>
          <w:sz w:val="17"/>
          <w:szCs w:val="17"/>
        </w:rPr>
        <w:t xml:space="preserve">shrinivashdkannan@gmail.com   ·   +91 7502501243   ·   Chennai, India</w:t>
      </w:r>
    </w:p>
    <w:p>
      <w:pPr>
        <w:pBdr>
          <w:bottom w:val="single" w:color="1A5276" w:sz="6" w:space="3"/>
        </w:pBdr>
        <w:spacing w:after="60" w:before="100"/>
      </w:pPr>
    </w:p>
    <w:p>
      <w:pPr>
        <w:spacing w:after="60" w:before="140"/>
      </w:pPr>
      <w:r>
        <w:rPr>
          <w:rFonts w:ascii="Calibri" w:cs="Calibri" w:eastAsia="Calibri" w:hAnsi="Calibri"/>
          <w:b/>
          <w:bCs/>
          <w:color w:val="1A5276"/>
          <w:sz w:val="19"/>
          <w:szCs w:val="19"/>
        </w:rPr>
        <w:t xml:space="preserve">PROFESSIONAL SUMMARY</w:t>
      </w:r>
    </w:p>
    <w:p>
      <w:pPr>
        <w:spacing w:after="60"/>
        <w:jc w:val="both"/>
      </w:pPr>
      <w:r>
        <w:rPr>
          <w:rFonts w:ascii="Calibri" w:cs="Calibri" w:eastAsia="Calibri" w:hAnsi="Calibri"/>
          <w:color w:val="1A1A1A"/>
          <w:sz w:val="18"/>
          <w:szCs w:val="18"/>
        </w:rPr>
        <w:t xml:space="preserve">ESG and sustainability data professional with 2+ years of experience in ESG research, corporate climate disclosures and sustainability data analysis. Skilled in extracting and structuring ESG-related data from annual reports, corporate websites and sustainability databases including CDP, BRSR and TCFD disclosure filings. Proficient in Advanced Excel and structured data management, with experience translating financial and non-financial corporate information into consistent, decision-useful outputs. Strong working knowledge of GHG Protocol, IFRS S2, CSRD and SBTi frameworks.</w:t>
      </w:r>
    </w:p>
    <w:p>
      <w:pPr>
        <w:pBdr>
          <w:bottom w:val="single" w:color="1A5276" w:sz="6" w:space="3"/>
        </w:pBdr>
        <w:spacing w:after="60" w:before="100"/>
      </w:pPr>
    </w:p>
    <w:p>
      <w:pPr>
        <w:spacing w:after="60" w:before="140"/>
      </w:pPr>
      <w:r>
        <w:rPr>
          <w:rFonts w:ascii="Calibri" w:cs="Calibri" w:eastAsia="Calibri" w:hAnsi="Calibri"/>
          <w:b/>
          <w:bCs/>
          <w:color w:val="1A5276"/>
          <w:sz w:val="19"/>
          <w:szCs w:val="19"/>
        </w:rPr>
        <w:t xml:space="preserve">KEY SKILLS</w:t>
      </w:r>
    </w:p>
    <w:p>
      <w:pPr>
        <w:spacing w:after="50"/>
      </w:pPr>
      <w:r>
        <w:rPr>
          <w:rFonts w:ascii="Calibri" w:cs="Calibri" w:eastAsia="Calibri" w:hAnsi="Calibri"/>
          <w:b/>
          <w:bCs/>
          <w:color w:val="1A1A1A"/>
          <w:sz w:val="17"/>
          <w:szCs w:val="17"/>
        </w:rPr>
        <w:t xml:space="preserve">ESG Data &amp; Research:  </w:t>
      </w:r>
      <w:r>
        <w:rPr>
          <w:rFonts w:ascii="Calibri" w:cs="Calibri" w:eastAsia="Calibri" w:hAnsi="Calibri"/>
          <w:color w:val="1A1A1A"/>
          <w:sz w:val="17"/>
          <w:szCs w:val="17"/>
        </w:rPr>
        <w:t xml:space="preserve">ESG Data Extraction  |  Annual Report Analysis  |  Secondary Research  |  Corporate Sustainability Disclosures  |  CDP  |  BRSR  |  TCFD  |  GHG Protocol  |  IFRS S2  |  CSRD  |  SBTi</w:t>
      </w:r>
    </w:p>
    <w:p>
      <w:pPr>
        <w:spacing w:after="50"/>
      </w:pPr>
      <w:r>
        <w:rPr>
          <w:rFonts w:ascii="Calibri" w:cs="Calibri" w:eastAsia="Calibri" w:hAnsi="Calibri"/>
          <w:b/>
          <w:bCs/>
          <w:color w:val="1A1A1A"/>
          <w:sz w:val="17"/>
          <w:szCs w:val="17"/>
        </w:rPr>
        <w:t xml:space="preserve">Data &amp; Tools:  </w:t>
      </w:r>
      <w:r>
        <w:rPr>
          <w:rFonts w:ascii="Calibri" w:cs="Calibri" w:eastAsia="Calibri" w:hAnsi="Calibri"/>
          <w:color w:val="1A1A1A"/>
          <w:sz w:val="17"/>
          <w:szCs w:val="17"/>
        </w:rPr>
        <w:t xml:space="preserve">MS Excel (Advanced)  |  Data Extraction  |  Data Validation  |  Data Quality Governance  |  Database Management  |  Python  |  MS Word  |  QGIS</w:t>
      </w:r>
    </w:p>
    <w:p>
      <w:pPr>
        <w:spacing w:after="50"/>
      </w:pPr>
      <w:r>
        <w:rPr>
          <w:rFonts w:ascii="Calibri" w:cs="Calibri" w:eastAsia="Calibri" w:hAnsi="Calibri"/>
          <w:b/>
          <w:bCs/>
          <w:color w:val="1A1A1A"/>
          <w:sz w:val="17"/>
          <w:szCs w:val="17"/>
        </w:rPr>
        <w:t xml:space="preserve">Corporate &amp; Financial:  </w:t>
      </w:r>
      <w:r>
        <w:rPr>
          <w:rFonts w:ascii="Calibri" w:cs="Calibri" w:eastAsia="Calibri" w:hAnsi="Calibri"/>
          <w:color w:val="1A1A1A"/>
          <w:sz w:val="17"/>
          <w:szCs w:val="17"/>
        </w:rPr>
        <w:t xml:space="preserve">Financial Concepts  |  Non-Financial Information  |  Corporate ESG Performance  |  Sector Research  |  Regulatory Filing Review  |  Quantitative Analysis</w:t>
      </w:r>
    </w:p>
    <w:p>
      <w:pPr>
        <w:pBdr>
          <w:bottom w:val="single" w:color="1A5276" w:sz="6" w:space="3"/>
        </w:pBdr>
        <w:spacing w:after="60" w:before="100"/>
      </w:pPr>
    </w:p>
    <w:p>
      <w:pPr>
        <w:spacing w:after="60" w:before="140"/>
      </w:pPr>
      <w:r>
        <w:rPr>
          <w:rFonts w:ascii="Calibri" w:cs="Calibri" w:eastAsia="Calibri" w:hAnsi="Calibri"/>
          <w:b/>
          <w:bCs/>
          <w:color w:val="1A5276"/>
          <w:sz w:val="19"/>
          <w:szCs w:val="19"/>
        </w:rPr>
        <w:t xml:space="preserve">PROFESSIONAL EXPERIENCE</w:t>
      </w:r>
    </w:p>
    <w:tbl>
      <w:tblPr>
        <w:tblW w:type="dxa" w:w="10322"/>
        <w:tblBorders>
          <w:top w:val="none"/>
          <w:left w:val="none"/>
          <w:bottom w:val="none"/>
          <w:right w:val="none"/>
          <w:insideH w:val="single" w:color="auto" w:sz="4"/>
          <w:insideV w:val="single" w:color="auto" w:sz="4"/>
        </w:tblBorders>
      </w:tblPr>
      <w:tblGrid>
        <w:gridCol w:w="100"/>
        <w:gridCol w:w="100"/>
      </w:tblGrid>
      <w:tr>
        <w:tc>
          <w:tcPr>
            <w:tcW w:type="dxa" w:w="7432"/>
            <w:tcBorders>
              <w:top w:val="none"/>
              <w:left w:val="none"/>
              <w:bottom w:val="none"/>
              <w:right w:val="none"/>
            </w:tcBorders>
          </w:tcPr>
          <w:p>
            <w:pPr>
              <w:spacing w:after="20" w:before="80"/>
            </w:pPr>
            <w:r>
              <w:rPr>
                <w:rFonts w:ascii="Calibri" w:cs="Calibri" w:eastAsia="Calibri" w:hAnsi="Calibri"/>
                <w:b/>
                <w:bCs/>
                <w:color w:val="1A1A1A"/>
                <w:sz w:val="18"/>
                <w:szCs w:val="18"/>
              </w:rPr>
              <w:t xml:space="preserve">ESG Data &amp; Disclosure Analyst</w:t>
            </w:r>
            <w:r>
              <w:rPr>
                <w:rFonts w:ascii="Calibri" w:cs="Calibri" w:eastAsia="Calibri" w:hAnsi="Calibri"/>
                <w:color w:val="555555"/>
                <w:sz w:val="18"/>
                <w:szCs w:val="18"/>
              </w:rPr>
              <w:t xml:space="preserve">  |  </w:t>
            </w:r>
            <w:r>
              <w:rPr>
                <w:rFonts w:ascii="Calibri" w:cs="Calibri" w:eastAsia="Calibri" w:hAnsi="Calibri"/>
                <w:color w:val="555555"/>
                <w:sz w:val="18"/>
                <w:szCs w:val="18"/>
              </w:rPr>
              <w:t xml:space="preserve">ClimRisk B.V., Netherlands</w:t>
            </w:r>
          </w:p>
        </w:tc>
        <w:tc>
          <w:tcPr>
            <w:tcW w:type="dxa" w:w="2890"/>
            <w:tcBorders>
              <w:top w:val="none"/>
              <w:left w:val="none"/>
              <w:bottom w:val="none"/>
              <w:right w:val="none"/>
            </w:tcBorders>
            <w:vAlign w:val="center"/>
          </w:tcPr>
          <w:p>
            <w:pPr>
              <w:spacing w:after="20" w:before="80"/>
              <w:jc w:val="right"/>
            </w:pPr>
            <w:r>
              <w:rPr>
                <w:rFonts w:ascii="Calibri" w:cs="Calibri" w:eastAsia="Calibri" w:hAnsi="Calibri"/>
                <w:i/>
                <w:iCs/>
                <w:color w:val="555555"/>
                <w:sz w:val="17"/>
                <w:szCs w:val="17"/>
              </w:rPr>
              <w:t xml:space="preserve">Apr 2026 – Present</w:t>
            </w:r>
          </w:p>
        </w:tc>
      </w:tr>
    </w:tbl>
    <w:p>
      <w:pPr>
        <w:pStyle w:val="ListParagraph"/>
        <w:numPr>
          <w:ilvl w:val="0"/>
          <w:numId w:val="1"/>
        </w:numPr>
        <w:spacing w:after="50"/>
        <w:jc w:val="both"/>
      </w:pPr>
      <w:r>
        <w:rPr>
          <w:rFonts w:ascii="Calibri" w:cs="Calibri" w:eastAsia="Calibri" w:hAnsi="Calibri"/>
          <w:color w:val="1A1A1A"/>
          <w:sz w:val="17"/>
          <w:szCs w:val="17"/>
        </w:rPr>
        <w:t xml:space="preserve">Extracted and structured ESG-related data from corporate annual reports, CDP submissions, sustainability disclosures and company websites, standardising inputs across 18 commodity sectors into a consistent analytical database.</w:t>
      </w:r>
    </w:p>
    <w:p>
      <w:pPr>
        <w:pStyle w:val="ListParagraph"/>
        <w:numPr>
          <w:ilvl w:val="0"/>
          <w:numId w:val="1"/>
        </w:numPr>
        <w:spacing w:after="50"/>
        <w:jc w:val="both"/>
      </w:pPr>
      <w:r>
        <w:rPr>
          <w:rFonts w:ascii="Calibri" w:cs="Calibri" w:eastAsia="Calibri" w:hAnsi="Calibri"/>
          <w:color w:val="1A1A1A"/>
          <w:sz w:val="17"/>
          <w:szCs w:val="17"/>
        </w:rPr>
        <w:t xml:space="preserve">Validated corporate ESG data against TCFD, IFRS S2, CSRD and CDP frameworks, identifying inconsistencies and improving data quality across multi-source inputs before entries were committed to the database.</w:t>
      </w:r>
    </w:p>
    <w:p>
      <w:pPr>
        <w:pStyle w:val="ListParagraph"/>
        <w:numPr>
          <w:ilvl w:val="0"/>
          <w:numId w:val="1"/>
        </w:numPr>
        <w:spacing w:after="50"/>
        <w:jc w:val="both"/>
      </w:pPr>
      <w:r>
        <w:rPr>
          <w:rFonts w:ascii="Calibri" w:cs="Calibri" w:eastAsia="Calibri" w:hAnsi="Calibri"/>
          <w:color w:val="1A1A1A"/>
          <w:sz w:val="17"/>
          <w:szCs w:val="17"/>
        </w:rPr>
        <w:t xml:space="preserve">Researched corporate climate targets, emissions performance and governance disclosures through secondary research across company websites, regulatory filings and sustainability databases.</w:t>
      </w:r>
    </w:p>
    <w:p>
      <w:pPr>
        <w:pStyle w:val="ListParagraph"/>
        <w:numPr>
          <w:ilvl w:val="0"/>
          <w:numId w:val="1"/>
        </w:numPr>
        <w:spacing w:after="50"/>
        <w:jc w:val="both"/>
      </w:pPr>
      <w:r>
        <w:rPr>
          <w:rFonts w:ascii="Calibri" w:cs="Calibri" w:eastAsia="Calibri" w:hAnsi="Calibri"/>
          <w:color w:val="1A1A1A"/>
          <w:sz w:val="17"/>
          <w:szCs w:val="17"/>
        </w:rPr>
        <w:t xml:space="preserve">Structured and organised ESG outputs for internal reporting workflows, maintaining traceable links from source documents to final analytical and disclosure outputs across 18 sectors.</w:t>
      </w:r>
    </w:p>
    <w:p>
      <w:pPr>
        <w:pStyle w:val="ListParagraph"/>
        <w:numPr>
          <w:ilvl w:val="0"/>
          <w:numId w:val="1"/>
        </w:numPr>
        <w:spacing w:after="50"/>
        <w:jc w:val="both"/>
      </w:pPr>
      <w:r>
        <w:rPr>
          <w:rFonts w:ascii="Calibri" w:cs="Calibri" w:eastAsia="Calibri" w:hAnsi="Calibri"/>
          <w:color w:val="1A1A1A"/>
          <w:sz w:val="17"/>
          <w:szCs w:val="17"/>
        </w:rPr>
        <w:t xml:space="preserve">Applied CDP, GHG Protocol and SBTi frameworks to assess corporate emissions disclosure quality, data robustness and consistency with reported climate commitments.</w:t>
      </w:r>
    </w:p>
    <w:tbl>
      <w:tblPr>
        <w:tblW w:type="dxa" w:w="10322"/>
        <w:tblBorders>
          <w:top w:val="none"/>
          <w:left w:val="none"/>
          <w:bottom w:val="none"/>
          <w:right w:val="none"/>
          <w:insideH w:val="single" w:color="auto" w:sz="4"/>
          <w:insideV w:val="single" w:color="auto" w:sz="4"/>
        </w:tblBorders>
      </w:tblPr>
      <w:tblGrid>
        <w:gridCol w:w="100"/>
        <w:gridCol w:w="100"/>
      </w:tblGrid>
      <w:tr>
        <w:tc>
          <w:tcPr>
            <w:tcW w:type="dxa" w:w="7432"/>
            <w:tcBorders>
              <w:top w:val="none"/>
              <w:left w:val="none"/>
              <w:bottom w:val="none"/>
              <w:right w:val="none"/>
            </w:tcBorders>
          </w:tcPr>
          <w:p>
            <w:pPr>
              <w:spacing w:after="20" w:before="80"/>
            </w:pPr>
            <w:r>
              <w:rPr>
                <w:rFonts w:ascii="Calibri" w:cs="Calibri" w:eastAsia="Calibri" w:hAnsi="Calibri"/>
                <w:b/>
                <w:bCs/>
                <w:color w:val="1A1A1A"/>
                <w:sz w:val="18"/>
                <w:szCs w:val="18"/>
              </w:rPr>
              <w:t xml:space="preserve">Climate Data Analyst</w:t>
            </w:r>
            <w:r>
              <w:rPr>
                <w:rFonts w:ascii="Calibri" w:cs="Calibri" w:eastAsia="Calibri" w:hAnsi="Calibri"/>
                <w:color w:val="555555"/>
                <w:sz w:val="18"/>
                <w:szCs w:val="18"/>
              </w:rPr>
              <w:t xml:space="preserve">  |  </w:t>
            </w:r>
            <w:r>
              <w:rPr>
                <w:rFonts w:ascii="Calibri" w:cs="Calibri" w:eastAsia="Calibri" w:hAnsi="Calibri"/>
                <w:color w:val="555555"/>
                <w:sz w:val="18"/>
                <w:szCs w:val="18"/>
              </w:rPr>
              <w:t xml:space="preserve">INHAF, ClimACT-Chennai Initiative</w:t>
            </w:r>
          </w:p>
        </w:tc>
        <w:tc>
          <w:tcPr>
            <w:tcW w:type="dxa" w:w="2890"/>
            <w:tcBorders>
              <w:top w:val="none"/>
              <w:left w:val="none"/>
              <w:bottom w:val="none"/>
              <w:right w:val="none"/>
            </w:tcBorders>
            <w:vAlign w:val="center"/>
          </w:tcPr>
          <w:p>
            <w:pPr>
              <w:spacing w:after="20" w:before="80"/>
              <w:jc w:val="right"/>
            </w:pPr>
            <w:r>
              <w:rPr>
                <w:rFonts w:ascii="Calibri" w:cs="Calibri" w:eastAsia="Calibri" w:hAnsi="Calibri"/>
                <w:i/>
                <w:iCs/>
                <w:color w:val="555555"/>
                <w:sz w:val="17"/>
                <w:szCs w:val="17"/>
              </w:rPr>
              <w:t xml:space="preserve">Oct 2025 – Sep 2026</w:t>
            </w:r>
          </w:p>
        </w:tc>
      </w:tr>
    </w:tbl>
    <w:p>
      <w:pPr>
        <w:pStyle w:val="ListParagraph"/>
        <w:numPr>
          <w:ilvl w:val="0"/>
          <w:numId w:val="1"/>
        </w:numPr>
        <w:spacing w:after="50"/>
        <w:jc w:val="both"/>
      </w:pPr>
      <w:r>
        <w:rPr>
          <w:rFonts w:ascii="Calibri" w:cs="Calibri" w:eastAsia="Calibri" w:hAnsi="Calibri"/>
          <w:color w:val="1A1A1A"/>
          <w:sz w:val="17"/>
          <w:szCs w:val="17"/>
        </w:rPr>
        <w:t xml:space="preserve">Standardised extraction, cleaning and databasing of a 22-year longitudinal climate dataset collected from multiple global APIs and partner organisations, resolving data quality and consistency issues across all source types.</w:t>
      </w:r>
    </w:p>
    <w:p>
      <w:pPr>
        <w:pStyle w:val="ListParagraph"/>
        <w:numPr>
          <w:ilvl w:val="0"/>
          <w:numId w:val="1"/>
        </w:numPr>
        <w:spacing w:after="50"/>
        <w:jc w:val="both"/>
      </w:pPr>
      <w:r>
        <w:rPr>
          <w:rFonts w:ascii="Calibri" w:cs="Calibri" w:eastAsia="Calibri" w:hAnsi="Calibri"/>
          <w:color w:val="1A1A1A"/>
          <w:sz w:val="17"/>
          <w:szCs w:val="17"/>
        </w:rPr>
        <w:t xml:space="preserve">Established data quality and governance processes to identify and reconcile mismatches across multi-source datasets before information entered shared analytical workflows, reducing downstream errors.</w:t>
      </w:r>
    </w:p>
    <w:p>
      <w:pPr>
        <w:pStyle w:val="ListParagraph"/>
        <w:numPr>
          <w:ilvl w:val="0"/>
          <w:numId w:val="1"/>
        </w:numPr>
        <w:spacing w:after="50"/>
        <w:jc w:val="both"/>
      </w:pPr>
      <w:r>
        <w:rPr>
          <w:rFonts w:ascii="Calibri" w:cs="Calibri" w:eastAsia="Calibri" w:hAnsi="Calibri"/>
          <w:color w:val="1A1A1A"/>
          <w:sz w:val="17"/>
          <w:szCs w:val="17"/>
        </w:rPr>
        <w:t xml:space="preserve">Produced structured data summaries and analytical reports supporting stakeholder-facing planning and policy recommendation outputs for the Chennai climate resilience initiative.</w:t>
      </w:r>
    </w:p>
    <w:tbl>
      <w:tblPr>
        <w:tblW w:type="dxa" w:w="10322"/>
        <w:tblBorders>
          <w:top w:val="none"/>
          <w:left w:val="none"/>
          <w:bottom w:val="none"/>
          <w:right w:val="none"/>
          <w:insideH w:val="single" w:color="auto" w:sz="4"/>
          <w:insideV w:val="single" w:color="auto" w:sz="4"/>
        </w:tblBorders>
      </w:tblPr>
      <w:tblGrid>
        <w:gridCol w:w="100"/>
        <w:gridCol w:w="100"/>
      </w:tblGrid>
      <w:tr>
        <w:tc>
          <w:tcPr>
            <w:tcW w:type="dxa" w:w="7432"/>
            <w:tcBorders>
              <w:top w:val="none"/>
              <w:left w:val="none"/>
              <w:bottom w:val="none"/>
              <w:right w:val="none"/>
            </w:tcBorders>
          </w:tcPr>
          <w:p>
            <w:pPr>
              <w:spacing w:after="20" w:before="80"/>
            </w:pPr>
            <w:r>
              <w:rPr>
                <w:rFonts w:ascii="Calibri" w:cs="Calibri" w:eastAsia="Calibri" w:hAnsi="Calibri"/>
                <w:b/>
                <w:bCs/>
                <w:color w:val="1A1A1A"/>
                <w:sz w:val="18"/>
                <w:szCs w:val="18"/>
              </w:rPr>
              <w:t xml:space="preserve">Graduate Engineer Trainee</w:t>
            </w:r>
            <w:r>
              <w:rPr>
                <w:rFonts w:ascii="Calibri" w:cs="Calibri" w:eastAsia="Calibri" w:hAnsi="Calibri"/>
                <w:color w:val="555555"/>
                <w:sz w:val="18"/>
                <w:szCs w:val="18"/>
              </w:rPr>
              <w:t xml:space="preserve">  |  </w:t>
            </w:r>
            <w:r>
              <w:rPr>
                <w:rFonts w:ascii="Calibri" w:cs="Calibri" w:eastAsia="Calibri" w:hAnsi="Calibri"/>
                <w:color w:val="555555"/>
                <w:sz w:val="18"/>
                <w:szCs w:val="18"/>
              </w:rPr>
              <w:t xml:space="preserve">The Ramco Cements Ltd</w:t>
            </w:r>
          </w:p>
        </w:tc>
        <w:tc>
          <w:tcPr>
            <w:tcW w:type="dxa" w:w="2890"/>
            <w:tcBorders>
              <w:top w:val="none"/>
              <w:left w:val="none"/>
              <w:bottom w:val="none"/>
              <w:right w:val="none"/>
            </w:tcBorders>
            <w:vAlign w:val="center"/>
          </w:tcPr>
          <w:p>
            <w:pPr>
              <w:spacing w:after="20" w:before="80"/>
              <w:jc w:val="right"/>
            </w:pPr>
            <w:r>
              <w:rPr>
                <w:rFonts w:ascii="Calibri" w:cs="Calibri" w:eastAsia="Calibri" w:hAnsi="Calibri"/>
                <w:i/>
                <w:iCs/>
                <w:color w:val="555555"/>
                <w:sz w:val="17"/>
                <w:szCs w:val="17"/>
              </w:rPr>
              <w:t xml:space="preserve">May 2022 – May 2023</w:t>
            </w:r>
          </w:p>
        </w:tc>
      </w:tr>
    </w:tbl>
    <w:p>
      <w:pPr>
        <w:pStyle w:val="ListParagraph"/>
        <w:numPr>
          <w:ilvl w:val="0"/>
          <w:numId w:val="1"/>
        </w:numPr>
        <w:spacing w:after="50"/>
        <w:jc w:val="both"/>
      </w:pPr>
      <w:r>
        <w:rPr>
          <w:rFonts w:ascii="Calibri" w:cs="Calibri" w:eastAsia="Calibri" w:hAnsi="Calibri"/>
          <w:color w:val="1A1A1A"/>
          <w:sz w:val="17"/>
          <w:szCs w:val="17"/>
        </w:rPr>
        <w:t xml:space="preserve">Developed a GHG accounting framework across four Ramco manufacturing facilities, applying ISO 14064/67, GHG Protocol and SBTi principles to quantify approximately 450,000 tCO₂e annually and establish a consistent corporate emissions data baseline.</w:t>
      </w:r>
    </w:p>
    <w:p>
      <w:pPr>
        <w:pStyle w:val="ListParagraph"/>
        <w:numPr>
          <w:ilvl w:val="0"/>
          <w:numId w:val="1"/>
        </w:numPr>
        <w:spacing w:after="50"/>
        <w:jc w:val="both"/>
      </w:pPr>
      <w:r>
        <w:rPr>
          <w:rFonts w:ascii="Calibri" w:cs="Calibri" w:eastAsia="Calibri" w:hAnsi="Calibri"/>
          <w:color w:val="1A1A1A"/>
          <w:sz w:val="17"/>
          <w:szCs w:val="17"/>
        </w:rPr>
        <w:t xml:space="preserve">Supported CDP disclosure through systematic extraction of emissions data from operational records, methodology documentation and audit-trail preparation, improving traceability of corporate ESG information.</w:t>
      </w:r>
    </w:p>
    <w:p>
      <w:pPr>
        <w:pStyle w:val="ListParagraph"/>
        <w:numPr>
          <w:ilvl w:val="0"/>
          <w:numId w:val="1"/>
        </w:numPr>
        <w:spacing w:after="50"/>
        <w:jc w:val="both"/>
      </w:pPr>
      <w:r>
        <w:rPr>
          <w:rFonts w:ascii="Calibri" w:cs="Calibri" w:eastAsia="Calibri" w:hAnsi="Calibri"/>
          <w:color w:val="1A1A1A"/>
          <w:sz w:val="17"/>
          <w:szCs w:val="17"/>
        </w:rPr>
        <w:t xml:space="preserve">Prepared BRSR disclosure documentation for SEBI-mandated reporting, extracting and structuring environmental and social data from internal records and annual reports into standardised regulatory reporting templates.</w:t>
      </w:r>
    </w:p>
    <w:p>
      <w:pPr>
        <w:pStyle w:val="ListParagraph"/>
        <w:numPr>
          <w:ilvl w:val="0"/>
          <w:numId w:val="1"/>
        </w:numPr>
        <w:spacing w:after="50"/>
        <w:jc w:val="both"/>
      </w:pPr>
      <w:r>
        <w:rPr>
          <w:rFonts w:ascii="Calibri" w:cs="Calibri" w:eastAsia="Calibri" w:hAnsi="Calibri"/>
          <w:color w:val="1A1A1A"/>
          <w:sz w:val="17"/>
          <w:szCs w:val="17"/>
        </w:rPr>
        <w:t xml:space="preserve">Compiled statutory environmental data for Environmental Impact Assessments and mine-lease renewal filings, consolidating technical and financial information from multiple operational sources.</w:t>
      </w:r>
    </w:p>
    <w:p>
      <w:pPr>
        <w:pBdr>
          <w:bottom w:val="single" w:color="1A5276" w:sz="6" w:space="3"/>
        </w:pBdr>
        <w:spacing w:after="60" w:before="100"/>
      </w:pPr>
    </w:p>
    <w:p>
      <w:pPr>
        <w:spacing w:after="60" w:before="140"/>
      </w:pPr>
      <w:r>
        <w:rPr>
          <w:rFonts w:ascii="Calibri" w:cs="Calibri" w:eastAsia="Calibri" w:hAnsi="Calibri"/>
          <w:b/>
          <w:bCs/>
          <w:color w:val="1A5276"/>
          <w:sz w:val="19"/>
          <w:szCs w:val="19"/>
        </w:rPr>
        <w:t xml:space="preserve">EDUCATION &amp; CERTIFICATIONS</w:t>
      </w:r>
    </w:p>
    <w:tbl>
      <w:tblPr>
        <w:tblW w:type="dxa" w:w="10322"/>
        <w:tblBorders>
          <w:top w:val="none"/>
          <w:left w:val="none"/>
          <w:bottom w:val="none"/>
          <w:right w:val="none"/>
          <w:insideH w:val="single" w:color="auto" w:sz="4"/>
          <w:insideV w:val="single" w:color="auto" w:sz="4"/>
        </w:tblBorders>
      </w:tblPr>
      <w:tblGrid>
        <w:gridCol w:w="100"/>
        <w:gridCol w:w="100"/>
      </w:tblGrid>
      <w:tr>
        <w:tc>
          <w:tcPr>
            <w:tcW w:type="dxa" w:w="8051"/>
            <w:tcBorders>
              <w:top w:val="none"/>
              <w:left w:val="none"/>
              <w:bottom w:val="none"/>
              <w:right w:val="none"/>
            </w:tcBorders>
          </w:tcPr>
          <w:p>
            <w:pPr>
              <w:spacing w:after="40" w:before="60"/>
            </w:pPr>
            <w:r>
              <w:rPr>
                <w:rFonts w:ascii="Calibri" w:cs="Calibri" w:eastAsia="Calibri" w:hAnsi="Calibri"/>
                <w:b/>
                <w:bCs/>
                <w:color w:val="1A1A1A"/>
                <w:sz w:val="17"/>
                <w:szCs w:val="17"/>
              </w:rPr>
              <w:t xml:space="preserve">ISO 14067: Carbon Footprint of Products  |  Accredited Auditor</w:t>
            </w:r>
          </w:p>
        </w:tc>
        <w:tc>
          <w:tcPr>
            <w:tcW w:type="dxa" w:w="2271"/>
            <w:tcBorders>
              <w:top w:val="none"/>
              <w:left w:val="none"/>
              <w:bottom w:val="none"/>
              <w:right w:val="none"/>
            </w:tcBorders>
            <w:vAlign w:val="center"/>
          </w:tcPr>
          <w:p>
            <w:pPr>
              <w:spacing w:after="40" w:before="60"/>
              <w:jc w:val="right"/>
            </w:pPr>
            <w:r>
              <w:rPr>
                <w:rFonts w:ascii="Calibri" w:cs="Calibri" w:eastAsia="Calibri" w:hAnsi="Calibri"/>
                <w:i/>
                <w:iCs/>
                <w:color w:val="555555"/>
                <w:sz w:val="17"/>
                <w:szCs w:val="17"/>
              </w:rPr>
              <w:t xml:space="preserve">Active</w:t>
            </w:r>
          </w:p>
        </w:tc>
      </w:tr>
    </w:tbl>
    <w:tbl>
      <w:tblPr>
        <w:tblW w:type="dxa" w:w="10322"/>
        <w:tblBorders>
          <w:top w:val="none"/>
          <w:left w:val="none"/>
          <w:bottom w:val="none"/>
          <w:right w:val="none"/>
          <w:insideH w:val="single" w:color="auto" w:sz="4"/>
          <w:insideV w:val="single" w:color="auto" w:sz="4"/>
        </w:tblBorders>
      </w:tblPr>
      <w:tblGrid>
        <w:gridCol w:w="100"/>
        <w:gridCol w:w="100"/>
      </w:tblGrid>
      <w:tr>
        <w:tc>
          <w:tcPr>
            <w:tcW w:type="dxa" w:w="8051"/>
            <w:tcBorders>
              <w:top w:val="none"/>
              <w:left w:val="none"/>
              <w:bottom w:val="none"/>
              <w:right w:val="none"/>
            </w:tcBorders>
          </w:tcPr>
          <w:p>
            <w:pPr>
              <w:spacing w:after="10" w:before="60"/>
            </w:pPr>
            <w:r>
              <w:rPr>
                <w:rFonts w:ascii="Calibri" w:cs="Calibri" w:eastAsia="Calibri" w:hAnsi="Calibri"/>
                <w:b/>
                <w:bCs/>
                <w:color w:val="1A1A1A"/>
                <w:sz w:val="17"/>
                <w:szCs w:val="17"/>
              </w:rPr>
              <w:t xml:space="preserve">MSc Urban Environment, Sustainability &amp; Climate Change  |  Erasmus University Rotterdam</w:t>
            </w:r>
          </w:p>
        </w:tc>
        <w:tc>
          <w:tcPr>
            <w:tcW w:type="dxa" w:w="2271"/>
            <w:tcBorders>
              <w:top w:val="none"/>
              <w:left w:val="none"/>
              <w:bottom w:val="none"/>
              <w:right w:val="none"/>
            </w:tcBorders>
            <w:vAlign w:val="center"/>
          </w:tcPr>
          <w:p>
            <w:pPr>
              <w:spacing w:after="10" w:before="60"/>
              <w:jc w:val="right"/>
            </w:pPr>
            <w:r>
              <w:rPr>
                <w:rFonts w:ascii="Calibri" w:cs="Calibri" w:eastAsia="Calibri" w:hAnsi="Calibri"/>
                <w:i/>
                <w:iCs/>
                <w:color w:val="555555"/>
                <w:sz w:val="17"/>
                <w:szCs w:val="17"/>
              </w:rPr>
              <w:t xml:space="preserve">2023 – 2024</w:t>
            </w:r>
          </w:p>
        </w:tc>
      </w:tr>
    </w:tbl>
    <w:p>
      <w:pPr>
        <w:spacing w:after="40"/>
      </w:pPr>
      <w:r>
        <w:rPr>
          <w:rFonts w:ascii="Calibri" w:cs="Calibri" w:eastAsia="Calibri" w:hAnsi="Calibri"/>
          <w:i/>
          <w:iCs/>
          <w:color w:val="555555"/>
          <w:sz w:val="17"/>
          <w:szCs w:val="17"/>
        </w:rPr>
        <w:t xml:space="preserve">Netherlands</w:t>
      </w:r>
    </w:p>
    <w:tbl>
      <w:tblPr>
        <w:tblW w:type="dxa" w:w="10322"/>
        <w:tblBorders>
          <w:top w:val="none"/>
          <w:left w:val="none"/>
          <w:bottom w:val="none"/>
          <w:right w:val="none"/>
          <w:insideH w:val="single" w:color="auto" w:sz="4"/>
          <w:insideV w:val="single" w:color="auto" w:sz="4"/>
        </w:tblBorders>
      </w:tblPr>
      <w:tblGrid>
        <w:gridCol w:w="100"/>
        <w:gridCol w:w="100"/>
      </w:tblGrid>
      <w:tr>
        <w:tc>
          <w:tcPr>
            <w:tcW w:type="dxa" w:w="8051"/>
            <w:tcBorders>
              <w:top w:val="none"/>
              <w:left w:val="none"/>
              <w:bottom w:val="none"/>
              <w:right w:val="none"/>
            </w:tcBorders>
          </w:tcPr>
          <w:p>
            <w:pPr>
              <w:spacing w:after="40" w:before="60"/>
            </w:pPr>
            <w:r>
              <w:rPr>
                <w:rFonts w:ascii="Calibri" w:cs="Calibri" w:eastAsia="Calibri" w:hAnsi="Calibri"/>
                <w:b/>
                <w:bCs/>
                <w:color w:val="1A1A1A"/>
                <w:sz w:val="17"/>
                <w:szCs w:val="17"/>
              </w:rPr>
              <w:t xml:space="preserve">MSc Geology  |  Manipal University, India</w:t>
            </w:r>
          </w:p>
        </w:tc>
        <w:tc>
          <w:tcPr>
            <w:tcW w:type="dxa" w:w="2271"/>
            <w:tcBorders>
              <w:top w:val="none"/>
              <w:left w:val="none"/>
              <w:bottom w:val="none"/>
              <w:right w:val="none"/>
            </w:tcBorders>
            <w:vAlign w:val="center"/>
          </w:tcPr>
          <w:p>
            <w:pPr>
              <w:spacing w:after="40" w:before="60"/>
              <w:jc w:val="right"/>
            </w:pPr>
            <w:r>
              <w:rPr>
                <w:rFonts w:ascii="Calibri" w:cs="Calibri" w:eastAsia="Calibri" w:hAnsi="Calibri"/>
                <w:i/>
                <w:iCs/>
                <w:color w:val="555555"/>
                <w:sz w:val="17"/>
                <w:szCs w:val="17"/>
              </w:rPr>
              <w:t xml:space="preserve">2018 – 2020</w:t>
            </w:r>
          </w:p>
        </w:tc>
      </w:tr>
    </w:tbl>
    <w:p>
      <w:pPr>
        <w:spacing w:after="0" w:before="60"/>
      </w:pPr>
      <w:r>
        <w:rPr>
          <w:rFonts w:ascii="Calibri" w:cs="Calibri" w:eastAsia="Calibri" w:hAnsi="Calibri"/>
          <w:b/>
          <w:bCs/>
          <w:color w:val="1A1A1A"/>
          <w:sz w:val="17"/>
          <w:szCs w:val="17"/>
        </w:rPr>
        <w:t xml:space="preserve">Languages:  </w:t>
      </w:r>
      <w:r>
        <w:rPr>
          <w:rFonts w:ascii="Calibri" w:cs="Calibri" w:eastAsia="Calibri" w:hAnsi="Calibri"/>
          <w:color w:val="1A1A1A"/>
          <w:sz w:val="17"/>
          <w:szCs w:val="17"/>
        </w:rPr>
        <w:t xml:space="preserve">Tamil (Native)  |  English (Proficient)  |  Hindi (Intermediate)  |  Dutch (Beginner)</w:t>
      </w:r>
    </w:p>
    <w:sectPr>
      <w:pgSz w:w="11906" w:h="16838" w:orient="portrait"/>
      <w:pgMar w:top="619" w:right="792" w:bottom="619"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rPr>
        <w:rFonts w:ascii="Symbol" w:cs="Symbol" w:eastAsia="Symbol" w:hAnsi="Symbol"/>
        <w:sz w:val="17"/>
        <w:szCs w:val="17"/>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2026-10-09T12:20:51.723Z</dcterms:created>
  <dcterms:modified xsi:type="dcterms:W3CDTF">2026-10-09T12:20:51.728Z</dcterms:modified>
</cp:coreProperties>
</file>

<file path=docProps/custom.xml><?xml version="1.0" encoding="utf-8"?>
<Properties xmlns="http://schemas.openxmlformats.org/officeDocument/2006/custom-properties" xmlns:vt="http://schemas.openxmlformats.org/officeDocument/2006/docPropsVTypes"/>
</file>