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C7B6E" w14:textId="4DE38F57" w:rsidR="00EF1D1D" w:rsidRDefault="00E30F15" w:rsidP="008B0AA2">
      <w:pPr>
        <w:pStyle w:val="Heading1"/>
      </w:pPr>
      <w:r>
        <w:t>An investigation of</w:t>
      </w:r>
      <w:r w:rsidR="008B0AA2">
        <w:t xml:space="preserve"> the impact of </w:t>
      </w:r>
      <w:r>
        <w:t>bounded rationality</w:t>
      </w:r>
      <w:r w:rsidR="008B0AA2">
        <w:t xml:space="preserve"> on</w:t>
      </w:r>
      <w:r w:rsidR="00206B07">
        <w:t xml:space="preserve"> the decarbonisation of</w:t>
      </w:r>
      <w:r w:rsidR="008B0AA2">
        <w:t xml:space="preserve"> Kenya’s power </w:t>
      </w:r>
      <w:r>
        <w:t>system</w:t>
      </w:r>
    </w:p>
    <w:p w14:paraId="6F5881D1" w14:textId="317918CD" w:rsidR="008B0AA2" w:rsidRDefault="008B0AA2" w:rsidP="008B0AA2"/>
    <w:p w14:paraId="0DB93D47" w14:textId="6A337EA6" w:rsidR="008B0AA2" w:rsidRDefault="008B0AA2" w:rsidP="008B0AA2">
      <w:pPr>
        <w:pStyle w:val="Heading2"/>
      </w:pPr>
      <w:r>
        <w:t>Authors</w:t>
      </w:r>
    </w:p>
    <w:p w14:paraId="548EA8D4" w14:textId="3DB83B45" w:rsidR="008B0AA2" w:rsidRDefault="008B0AA2" w:rsidP="008B0AA2">
      <w:r>
        <w:t xml:space="preserve">Alexander Kell, Sara </w:t>
      </w:r>
      <w:proofErr w:type="spellStart"/>
      <w:r>
        <w:t>Giarola</w:t>
      </w:r>
      <w:proofErr w:type="spellEnd"/>
      <w:r>
        <w:t>, Adam Hawkes</w:t>
      </w:r>
    </w:p>
    <w:p w14:paraId="5FC694DA" w14:textId="60495BFD" w:rsidR="008B0AA2" w:rsidRDefault="008B0AA2" w:rsidP="008B0AA2"/>
    <w:p w14:paraId="795AEF38" w14:textId="05246664" w:rsidR="008B0AA2" w:rsidRDefault="00644326" w:rsidP="008B0AA2">
      <w:pPr>
        <w:pStyle w:val="Heading2"/>
      </w:pPr>
      <w:r>
        <w:t>Summary</w:t>
      </w:r>
    </w:p>
    <w:p w14:paraId="6078BA95" w14:textId="129ABF12" w:rsidR="001E58B9" w:rsidRDefault="001E58B9" w:rsidP="001E58B9"/>
    <w:p w14:paraId="4EE514CA" w14:textId="486E63E1" w:rsidR="00644326" w:rsidRDefault="0034185B" w:rsidP="00644326">
      <w:r>
        <w:t xml:space="preserve">A low-carbon energy transition is required to induce sustainable economic growth around the world. The strategies to achieve such a low-carbon transition, however, must be robust in the face of uncertainty. In this work, we compare two complimentary methodological approaches to model these long-term transitions. We investigate Kenya’s </w:t>
      </w:r>
      <w:r w:rsidR="00985C7F">
        <w:t xml:space="preserve">long-term </w:t>
      </w:r>
      <w:r>
        <w:t xml:space="preserve">power sector </w:t>
      </w:r>
      <w:r w:rsidR="00985C7F">
        <w:t xml:space="preserve">evolution </w:t>
      </w:r>
      <w:r>
        <w:t xml:space="preserve">by comparing an optimisation and agent-based approach, using the </w:t>
      </w:r>
      <w:proofErr w:type="spellStart"/>
      <w:r>
        <w:t>OSeMOSYS</w:t>
      </w:r>
      <w:proofErr w:type="spellEnd"/>
      <w:r>
        <w:t xml:space="preserve"> and </w:t>
      </w:r>
      <w:r>
        <w:rPr>
          <w:color w:val="000000" w:themeColor="text1"/>
        </w:rPr>
        <w:t xml:space="preserve">the </w:t>
      </w:r>
      <w:proofErr w:type="spellStart"/>
      <w:r>
        <w:rPr>
          <w:color w:val="000000" w:themeColor="text1"/>
        </w:rPr>
        <w:t>ModUlar</w:t>
      </w:r>
      <w:proofErr w:type="spellEnd"/>
      <w:r>
        <w:rPr>
          <w:color w:val="000000" w:themeColor="text1"/>
        </w:rPr>
        <w:t xml:space="preserve"> energy system Simulation Environment (MUSE)</w:t>
      </w:r>
      <w:r>
        <w:rPr>
          <w:color w:val="000000" w:themeColor="text1"/>
        </w:rPr>
        <w:t xml:space="preserve"> respectively.</w:t>
      </w:r>
      <w:r w:rsidR="00215875">
        <w:rPr>
          <w:color w:val="000000" w:themeColor="text1"/>
        </w:rPr>
        <w:t xml:space="preserve"> The work defined here </w:t>
      </w:r>
      <w:r w:rsidR="00BF26D3">
        <w:rPr>
          <w:color w:val="000000" w:themeColor="text1"/>
        </w:rPr>
        <w:t>can lead to insights for</w:t>
      </w:r>
      <w:r w:rsidR="00215875">
        <w:rPr>
          <w:color w:val="000000" w:themeColor="text1"/>
        </w:rPr>
        <w:t xml:space="preserve"> similar economies in the global south, as well as </w:t>
      </w:r>
      <w:r w:rsidR="00BF26D3">
        <w:rPr>
          <w:color w:val="000000" w:themeColor="text1"/>
        </w:rPr>
        <w:t xml:space="preserve">more broadly, </w:t>
      </w:r>
      <w:r w:rsidR="00215875">
        <w:rPr>
          <w:color w:val="000000" w:themeColor="text1"/>
        </w:rPr>
        <w:t xml:space="preserve">around the world. </w:t>
      </w:r>
    </w:p>
    <w:p w14:paraId="5ED209FE" w14:textId="77777777" w:rsidR="001E58B9" w:rsidRDefault="001E58B9" w:rsidP="00644326"/>
    <w:p w14:paraId="5DF493A3" w14:textId="2E690F51" w:rsidR="00644326" w:rsidRDefault="00644326" w:rsidP="00644326">
      <w:pPr>
        <w:pStyle w:val="Heading2"/>
      </w:pPr>
      <w:r>
        <w:t>Extended abstract</w:t>
      </w:r>
    </w:p>
    <w:p w14:paraId="0F7D57B1" w14:textId="5699DCCB" w:rsidR="00644326" w:rsidRDefault="00644326" w:rsidP="00644326"/>
    <w:p w14:paraId="1DB8ABFE" w14:textId="058F6DAF" w:rsidR="006957CB" w:rsidRDefault="006957CB" w:rsidP="006957CB">
      <w:r>
        <w:t>The Paris Agreement, signed in 2016, has a long-term temperature goal to keep the rise in global average temperatures to well below 2</w:t>
      </w:r>
      <w:r w:rsidRPr="006957CB">
        <w:t>°C</w:t>
      </w:r>
      <w:r>
        <w:t xml:space="preserve"> above pre-industrial levels, and to pursue efforts to limit the increase to 1.5</w:t>
      </w:r>
      <w:r w:rsidRPr="006957CB">
        <w:t>°C</w:t>
      </w:r>
      <w:r>
        <w:t xml:space="preserve"> </w:t>
      </w:r>
      <w:r>
        <w:fldChar w:fldCharType="begin" w:fldLock="1"/>
      </w:r>
      <w:r>
        <w:instrText>ADDIN CSL_CITATION {"citationItems":[{"id":"ITEM-1","itemData":{"container-title":"United Nations","id":"ITEM-1","issued":{"date-parts":[["2015"]]},"page":"1-23","title":"Paris Agreement","type":"article-journal","volume":"21"},"uris":["http://www.mendeley.com/documents/?uuid=a29ef7c6-a3d4-4d2f-801c-ff30af7df8f8"]}],"mendeley":{"formattedCitation":"[1]","plainTextFormattedCitation":"[1]","previouslyFormattedCitation":"[1]"},"properties":{"noteIndex":0},"schema":"https://github.com/citation-style-language/schema/raw/master/csl-citation.json"}</w:instrText>
      </w:r>
      <w:r>
        <w:fldChar w:fldCharType="separate"/>
      </w:r>
      <w:r w:rsidRPr="006957CB">
        <w:rPr>
          <w:noProof/>
        </w:rPr>
        <w:t>[1]</w:t>
      </w:r>
      <w:r>
        <w:fldChar w:fldCharType="end"/>
      </w:r>
      <w:r>
        <w:t xml:space="preserve">. For this to be achieved, a global transition to a low-carbon energy system is required. </w:t>
      </w:r>
    </w:p>
    <w:p w14:paraId="691303D1" w14:textId="63F589F7" w:rsidR="00B608FB" w:rsidRDefault="00B608FB" w:rsidP="006957CB"/>
    <w:p w14:paraId="5DBAB0CE" w14:textId="61934591" w:rsidR="008F4CEA" w:rsidRDefault="008F4CEA" w:rsidP="006957CB">
      <w:r>
        <w:t xml:space="preserve">The population of Africa is set to grow rapidly. It is projected that one-in-two people added to the global population between 2021 and 2040 are set to be African </w:t>
      </w:r>
      <w:r>
        <w:fldChar w:fldCharType="begin" w:fldLock="1"/>
      </w:r>
      <w:r>
        <w:instrText>ADDIN CSL_CITATION {"citationItems":[{"id":"ITEM-1","itemData":{"author":[{"dropping-particle":"","family":"Garcia","given":"Mhairi Main","non-dropping-particle":"","parse-names":false,"suffix":""},{"dropping-particle":"","family":"Hawes","given":"Stephanie","non-dropping-particle":"","parse-names":false,"suffix":""}],"container-title":"Energy Outlook","id":"ITEM-1","issued":{"date-parts":[["2021"]]},"title":"Africa Energy Outlook 2019","type":"article-journal"},"uris":["http://www.mendeley.com/documents/?uuid=04aacf1b-4878-42d6-8ba7-4104afc3703f"]}],"mendeley":{"formattedCitation":"[2]","plainTextFormattedCitation":"[2]","previouslyFormattedCitation":"[2]"},"properties":{"noteIndex":0},"schema":"https://github.com/citation-style-language/schema/raw/master/csl-citation.json"}</w:instrText>
      </w:r>
      <w:r>
        <w:fldChar w:fldCharType="separate"/>
      </w:r>
      <w:r w:rsidRPr="008F4CEA">
        <w:rPr>
          <w:noProof/>
        </w:rPr>
        <w:t>[2]</w:t>
      </w:r>
      <w:r>
        <w:fldChar w:fldCharType="end"/>
      </w:r>
      <w:r>
        <w:t xml:space="preserve">. These profound demographic changes are set to drive economic growth, infrastructure development and, in turn, energy demand </w:t>
      </w:r>
      <w:r>
        <w:fldChar w:fldCharType="begin" w:fldLock="1"/>
      </w:r>
      <w:r>
        <w:instrText>ADDIN CSL_CITATION {"citationItems":[{"id":"ITEM-1","itemData":{"author":[{"dropping-particle":"","family":"Garcia","given":"Mhairi Main","non-dropping-particle":"","parse-names":false,"suffix":""},{"dropping-particle":"","family":"Hawes","given":"Stephanie","non-dropping-particle":"","parse-names":false,"suffix":""}],"container-title":"Energy Outlook","id":"ITEM-1","issued":{"date-parts":[["2021"]]},"title":"Africa Energy Outlook 2019","type":"article-journal"},"uris":["http://www.mendeley.com/documents/?uuid=04aacf1b-4878-42d6-8ba7-4104afc3703f"]}],"mendeley":{"formattedCitation":"[2]","plainTextFormattedCitation":"[2]","previouslyFormattedCitation":"[2]"},"properties":{"noteIndex":0},"schema":"https://github.com/citation-style-language/schema/raw/master/csl-citation.json"}</w:instrText>
      </w:r>
      <w:r>
        <w:fldChar w:fldCharType="separate"/>
      </w:r>
      <w:r w:rsidRPr="008F4CEA">
        <w:rPr>
          <w:noProof/>
        </w:rPr>
        <w:t>[2]</w:t>
      </w:r>
      <w:r>
        <w:fldChar w:fldCharType="end"/>
      </w:r>
      <w:r>
        <w:t xml:space="preserve">. Kenya is no different in this regard, and has the goal of achieving universal electricity service to all households and businesses by 2022 </w:t>
      </w:r>
      <w:r>
        <w:fldChar w:fldCharType="begin" w:fldLock="1"/>
      </w:r>
      <w:r>
        <w:instrText>ADDIN CSL_CITATION {"citationItems":[{"id":"ITEM-1","itemData":{"author":[{"dropping-particle":"","family":"IEA","given":"","non-dropping-particle":"","parse-names":false,"suffix":""}],"id":"ITEM-1","issued":{"date-parts":[["2019"]]},"title":"Kenya Energy Outlook","type":"webpage"},"uris":["http://www.mendeley.com/documents/?uuid=4e98a9c8-5d6d-4162-83b3-727e1ca4e2d3"]}],"mendeley":{"formattedCitation":"[3]","plainTextFormattedCitation":"[3]"},"properties":{"noteIndex":0},"schema":"https://github.com/citation-style-language/schema/raw/master/csl-citation.json"}</w:instrText>
      </w:r>
      <w:r>
        <w:fldChar w:fldCharType="separate"/>
      </w:r>
      <w:r w:rsidRPr="008F4CEA">
        <w:rPr>
          <w:noProof/>
        </w:rPr>
        <w:t>[3]</w:t>
      </w:r>
      <w:r>
        <w:fldChar w:fldCharType="end"/>
      </w:r>
      <w:r>
        <w:t>. Such a rapid transformation requires in-depth planning to assess robust strategies in the face of uncertainty.</w:t>
      </w:r>
    </w:p>
    <w:p w14:paraId="349492BC" w14:textId="77777777" w:rsidR="008F4CEA" w:rsidRDefault="008F4CEA" w:rsidP="006957CB"/>
    <w:p w14:paraId="5BCCFDB2" w14:textId="61D9574A" w:rsidR="006957CB" w:rsidRDefault="00B608FB" w:rsidP="006957CB">
      <w:r>
        <w:t>The power system is central towards this decarbonisation goal</w:t>
      </w:r>
      <w:r w:rsidR="00CE5C73">
        <w:t>;</w:t>
      </w:r>
      <w:r w:rsidR="008F4CEA">
        <w:t xml:space="preserve"> the power system </w:t>
      </w:r>
      <w:proofErr w:type="gramStart"/>
      <w:r>
        <w:t xml:space="preserve">has the </w:t>
      </w:r>
      <w:r w:rsidR="00CE5C73">
        <w:t>ability</w:t>
      </w:r>
      <w:r>
        <w:t xml:space="preserve"> to</w:t>
      </w:r>
      <w:proofErr w:type="gramEnd"/>
      <w:r>
        <w:t xml:space="preserve"> reduce emissions from </w:t>
      </w:r>
      <w:r w:rsidR="008F4CEA">
        <w:t>multiple</w:t>
      </w:r>
      <w:r w:rsidR="00A30EC9">
        <w:t xml:space="preserve"> </w:t>
      </w:r>
      <w:r>
        <w:t>energy sectors</w:t>
      </w:r>
      <w:r w:rsidR="00335F90">
        <w:t>,</w:t>
      </w:r>
      <w:r>
        <w:t xml:space="preserve"> </w:t>
      </w:r>
      <w:r w:rsidR="008F4CEA">
        <w:t>including</w:t>
      </w:r>
      <w:r>
        <w:t xml:space="preserve"> transport and cooking.</w:t>
      </w:r>
      <w:r w:rsidR="00A30EC9">
        <w:t xml:space="preserve"> </w:t>
      </w:r>
      <w:r w:rsidR="00D56C2F">
        <w:t xml:space="preserve">Figure 1 </w:t>
      </w:r>
      <w:r w:rsidR="008F4CEA">
        <w:t>shows</w:t>
      </w:r>
      <w:r w:rsidR="00D56C2F">
        <w:t xml:space="preserve"> the emission projections until 2030 for Kenya. </w:t>
      </w:r>
      <w:r w:rsidR="008F4CEA">
        <w:t>The</w:t>
      </w:r>
      <w:r w:rsidR="00D56C2F">
        <w:t xml:space="preserve"> emissions from the energy and power sector increase significantly in th</w:t>
      </w:r>
      <w:r w:rsidR="008F4CEA">
        <w:t>e Second National Communication (SNC) to the UNFCCC</w:t>
      </w:r>
      <w:r w:rsidR="00D56C2F">
        <w:t xml:space="preserve"> scenario. </w:t>
      </w:r>
      <w:r w:rsidR="00E21E52">
        <w:t>To be consistent with the Paris Agreement, i</w:t>
      </w:r>
      <w:r w:rsidR="00D56C2F">
        <w:t xml:space="preserve">t is important to reduce these emissions </w:t>
      </w:r>
      <w:r w:rsidR="00CE5C73">
        <w:t>to zero</w:t>
      </w:r>
      <w:r w:rsidR="00D56C2F">
        <w:t>.</w:t>
      </w:r>
      <w:r w:rsidR="00E21E52">
        <w:t xml:space="preserve"> The insights derived from </w:t>
      </w:r>
      <w:r w:rsidR="00CE5C73">
        <w:t>this</w:t>
      </w:r>
      <w:r w:rsidR="00E21E52">
        <w:t xml:space="preserve"> case-study on Kenya’s power sector has broad implications for other similar economies around the world.</w:t>
      </w:r>
    </w:p>
    <w:p w14:paraId="48EB40BA" w14:textId="041F02B4" w:rsidR="006E222A" w:rsidRDefault="006E222A" w:rsidP="006957CB"/>
    <w:p w14:paraId="75188D4F" w14:textId="60AB479F" w:rsidR="006E222A" w:rsidRDefault="006E222A" w:rsidP="006E222A">
      <w:pPr>
        <w:keepNext/>
        <w:jc w:val="center"/>
      </w:pPr>
      <w:r>
        <w:rPr>
          <w:noProof/>
        </w:rPr>
        <w:lastRenderedPageBreak/>
        <w:drawing>
          <wp:inline distT="0" distB="0" distL="0" distR="0" wp14:anchorId="52C84DEE" wp14:editId="6EE5E43A">
            <wp:extent cx="3017520" cy="2306229"/>
            <wp:effectExtent l="0" t="0" r="5080" b="571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5">
                      <a:extLst>
                        <a:ext uri="{28A0092B-C50C-407E-A947-70E740481C1C}">
                          <a14:useLocalDpi xmlns:a14="http://schemas.microsoft.com/office/drawing/2010/main" val="0"/>
                        </a:ext>
                      </a:extLst>
                    </a:blip>
                    <a:srcRect r="48017"/>
                    <a:stretch/>
                  </pic:blipFill>
                  <pic:spPr bwMode="auto">
                    <a:xfrm>
                      <a:off x="0" y="0"/>
                      <a:ext cx="3032797" cy="2317905"/>
                    </a:xfrm>
                    <a:prstGeom prst="rect">
                      <a:avLst/>
                    </a:prstGeom>
                    <a:ln>
                      <a:noFill/>
                    </a:ln>
                    <a:extLst>
                      <a:ext uri="{53640926-AAD7-44D8-BBD7-CCE9431645EC}">
                        <a14:shadowObscured xmlns:a14="http://schemas.microsoft.com/office/drawing/2010/main"/>
                      </a:ext>
                    </a:extLst>
                  </pic:spPr>
                </pic:pic>
              </a:graphicData>
            </a:graphic>
          </wp:inline>
        </w:drawing>
      </w:r>
    </w:p>
    <w:p w14:paraId="1B0E7FE6" w14:textId="531E0E6C" w:rsidR="006E222A" w:rsidRPr="006E222A" w:rsidRDefault="006E222A" w:rsidP="006E222A">
      <w:pPr>
        <w:pStyle w:val="Caption"/>
        <w:rPr>
          <w:rFonts w:ascii="Times New Roman" w:eastAsia="Times New Roman" w:hAnsi="Times New Roman" w:cs="Times New Roman"/>
          <w:lang w:eastAsia="en-GB"/>
        </w:rPr>
      </w:pPr>
      <w:r>
        <w:t xml:space="preserve">Figure </w:t>
      </w:r>
      <w:fldSimple w:instr=" SEQ Figure \* ARABIC ">
        <w:r>
          <w:rPr>
            <w:noProof/>
          </w:rPr>
          <w:t>1</w:t>
        </w:r>
      </w:fldSimple>
      <w:r>
        <w:t xml:space="preserve">: Greenhouse gas emissions in Kenya, according to its Second National Communication (SNC) to the UNFCCC </w:t>
      </w:r>
      <w:r w:rsidR="00BB431D">
        <w:fldChar w:fldCharType="begin" w:fldLock="1"/>
      </w:r>
      <w:r w:rsidR="008F4CEA">
        <w:instrText>ADDIN CSL_CITATION {"citationItems":[{"id":"ITEM-1","itemData":{"DOI":"10.1016/j.renene.2017.06.026","ISSN":"18790682","abstract":"In this paper Kenya's climate change mitigation ambitions are analysed from an energy system perspective, with a focus on the role of renewable and other low-carbon energy technologies. At COP-21 in 2015 in Paris, Kenya has committed to a ‘nationally determined contribution’ of reducing domestic greenhouse gas emissions by 30% in 2030 in comparison to a business-as-usual projection. An efficient exploitation of the country's renewable energy resources is key to achieving this target. We use the TIAM-ECN model to characterize plausible development pathways for the Kenyan energy mix until 2050 under different climate change mitigation scenarios. We conclude that the power sector can expand with mostly renewable energy options even in the absence of stringent greenhouse gas abatement targets. On the contrary, on the demand side a substantial deployment of low-carbon technologies is triggered only when ambitious emission reduction objectives are in place. The introduction of these technologies entails additional energy system costs, ranging in 2050 from 0.5% to 2% of the country's GDP. Our analysis supports the feasibility of Kenyan climate management goals, provided that adequate investments in renewable and other low-carbon energy technologies are timely made available.","author":[{"dropping-particle":"","family":"Dalla Longa","given":"Francesco","non-dropping-particle":"","parse-names":false,"suffix":""},{"dropping-particle":"","family":"Zwaan","given":"Bob","non-dropping-particle":"van der","parse-names":false,"suffix":""}],"container-title":"Renewable Energy","id":"ITEM-1","issued":{"date-parts":[["2017"]]},"page":"1559-1568","publisher":"Elsevier Ltd","title":"Do Kenya's climate change mitigation ambitions necessitate large-scale renewable energy deployment and dedicated low-carbon energy policy?","type":"article-journal","volume":"113"},"uris":["http://www.mendeley.com/documents/?uuid=87663e0b-676c-4fe2-b289-f6295705af07"]}],"mendeley":{"formattedCitation":"[4]","plainTextFormattedCitation":"[4]","previouslyFormattedCitation":"[3]"},"properties":{"noteIndex":0},"schema":"https://github.com/citation-style-language/schema/raw/master/csl-citation.json"}</w:instrText>
      </w:r>
      <w:r w:rsidR="00BB431D">
        <w:fldChar w:fldCharType="separate"/>
      </w:r>
      <w:r w:rsidR="008F4CEA" w:rsidRPr="008F4CEA">
        <w:rPr>
          <w:i w:val="0"/>
          <w:noProof/>
        </w:rPr>
        <w:t>[4]</w:t>
      </w:r>
      <w:r w:rsidR="00BB431D">
        <w:fldChar w:fldCharType="end"/>
      </w:r>
      <w:r>
        <w:t>.</w:t>
      </w:r>
    </w:p>
    <w:p w14:paraId="661A5A0B" w14:textId="627A70BE" w:rsidR="00E30F15" w:rsidRDefault="00D56C2F" w:rsidP="00E30F15">
      <w:pPr>
        <w:rPr>
          <w:color w:val="000000" w:themeColor="text1"/>
        </w:rPr>
      </w:pPr>
      <w:r w:rsidRPr="00EC4330">
        <w:rPr>
          <w:color w:val="000000" w:themeColor="text1"/>
        </w:rPr>
        <w:t xml:space="preserve">The objective of this research is two-fold: to model </w:t>
      </w:r>
      <w:r w:rsidR="00E30F15">
        <w:rPr>
          <w:color w:val="000000" w:themeColor="text1"/>
        </w:rPr>
        <w:t xml:space="preserve">the decarbonisation of the </w:t>
      </w:r>
      <w:r w:rsidRPr="00EC4330">
        <w:rPr>
          <w:color w:val="000000" w:themeColor="text1"/>
        </w:rPr>
        <w:t xml:space="preserve">power sector </w:t>
      </w:r>
      <w:r w:rsidR="00E30F15">
        <w:rPr>
          <w:color w:val="000000" w:themeColor="text1"/>
        </w:rPr>
        <w:t xml:space="preserve">in Kenya, and to investigate the impact that </w:t>
      </w:r>
      <w:r w:rsidR="00E30F15" w:rsidRPr="00E30F15">
        <w:rPr>
          <w:color w:val="000000" w:themeColor="text1"/>
        </w:rPr>
        <w:t xml:space="preserve">bounded rationality has on decarbonisation scenarios. This study will compare decarbonisation scenarios using two different integrated assessment model </w:t>
      </w:r>
      <w:r w:rsidR="00E21E52">
        <w:rPr>
          <w:color w:val="000000" w:themeColor="text1"/>
        </w:rPr>
        <w:t xml:space="preserve">(IAM) </w:t>
      </w:r>
      <w:r w:rsidR="00E30F15" w:rsidRPr="00E30F15">
        <w:rPr>
          <w:color w:val="000000" w:themeColor="text1"/>
        </w:rPr>
        <w:t>approaches</w:t>
      </w:r>
      <w:r w:rsidR="00E21E52">
        <w:rPr>
          <w:color w:val="000000" w:themeColor="text1"/>
        </w:rPr>
        <w:t xml:space="preserve">: </w:t>
      </w:r>
      <w:r w:rsidR="00E30F15" w:rsidRPr="00E30F15">
        <w:rPr>
          <w:color w:val="000000" w:themeColor="text1"/>
        </w:rPr>
        <w:t>agent-based and optimization</w:t>
      </w:r>
      <w:r w:rsidR="00E21E52">
        <w:rPr>
          <w:color w:val="000000" w:themeColor="text1"/>
        </w:rPr>
        <w:t>-</w:t>
      </w:r>
      <w:r w:rsidR="00AF1490">
        <w:rPr>
          <w:color w:val="000000" w:themeColor="text1"/>
        </w:rPr>
        <w:t>based</w:t>
      </w:r>
      <w:r w:rsidR="00E30F15" w:rsidRPr="00E30F15">
        <w:rPr>
          <w:color w:val="000000" w:themeColor="text1"/>
        </w:rPr>
        <w:t xml:space="preserve">. This work will </w:t>
      </w:r>
      <w:r w:rsidR="009426A6">
        <w:rPr>
          <w:color w:val="000000" w:themeColor="text1"/>
        </w:rPr>
        <w:t xml:space="preserve">compare </w:t>
      </w:r>
      <w:r w:rsidR="00E30F15">
        <w:rPr>
          <w:color w:val="000000" w:themeColor="text1"/>
        </w:rPr>
        <w:t xml:space="preserve">the </w:t>
      </w:r>
      <w:proofErr w:type="spellStart"/>
      <w:r w:rsidR="00E30F15">
        <w:rPr>
          <w:color w:val="000000" w:themeColor="text1"/>
        </w:rPr>
        <w:t>ModUlar</w:t>
      </w:r>
      <w:proofErr w:type="spellEnd"/>
      <w:r w:rsidR="00E30F15">
        <w:rPr>
          <w:color w:val="000000" w:themeColor="text1"/>
        </w:rPr>
        <w:t xml:space="preserve"> energy system Simulation Environment (MUSE)</w:t>
      </w:r>
      <w:r w:rsidR="00DD4314">
        <w:rPr>
          <w:color w:val="000000" w:themeColor="text1"/>
        </w:rPr>
        <w:t xml:space="preserve"> </w:t>
      </w:r>
      <w:r w:rsidR="009A59B9">
        <w:rPr>
          <w:color w:val="000000" w:themeColor="text1"/>
        </w:rPr>
        <w:fldChar w:fldCharType="begin" w:fldLock="1"/>
      </w:r>
      <w:r w:rsidR="008F4CEA">
        <w:rPr>
          <w:color w:val="000000" w:themeColor="text1"/>
        </w:rPr>
        <w:instrText>ADDIN CSL_CITATION {"citationItems":[{"id":"ITEM-1","itemData":{"DOI":"10.1016/j.enpol.2021.112159","ISSN":"03014215","abstract":"The power sector needs to ensure a rapid transition towards a low-carbon energy system to avoid the dangerous consequences of greenhouse gas emissions. Storage technologies are a promising option to provide the power system with the flexibility required when intermittent renewables are present in the electricity generation mix. This paper focuses on the role of electricity storage in energy systems with high shares of renewable sources. The study encompasses a model comparison approach where four models (GENeSYS-MOD, MUSE, NATEM, and urbs−MX) are used to analyse the storage uptake in North America. The analysis addresses the conditions affecting storage uptake in each country and its dependence on resource availability, technology costs, and public policies. Results show that storage may promote emissions reduction at lower costs when renewable mandates are in place whereas in presence of carbon taxes, renewables may compete with other low-carbon options. The study also highlights the main modelling approach shortcomings in the modelling of electricity storage in integrated assessment models.","author":[{"dropping-particle":"","family":"Giarola","given":"Sara","non-dropping-particle":"","parse-names":false,"suffix":""},{"dropping-particle":"","family":"Molar-Cruz","given":"Anahi","non-dropping-particle":"","parse-names":false,"suffix":""},{"dropping-particle":"","family":"Vaillancourt","given":"Kathleen","non-dropping-particle":"","parse-names":false,"suffix":""},{"dropping-particle":"","family":"Bahn","given":"Olivier","non-dropping-particle":"","parse-names":false,"suffix":""},{"dropping-particle":"","family":"Sarmiento","given":"Luis","non-dropping-particle":"","parse-names":false,"suffix":""},{"dropping-particle":"","family":"Hawkes","given":"Adam","non-dropping-particle":"","parse-names":false,"suffix":""},{"dropping-particle":"","family":"Brown","given":"Maxwell","non-dropping-particle":"","parse-names":false,"suffix":""}],"container-title":"Energy Policy","id":"ITEM-1","issue":"February","issued":{"date-parts":[["2021"]]},"page":"112159","publisher":"Elsevier Ltd","title":"The role of energy storage in the uptake of renewable energy: A model comparison approach","type":"article-journal","volume":"151"},"uris":["http://www.mendeley.com/documents/?uuid=d17ca08f-77d6-458f-aa46-c163e44fa08e"]},{"id":"ITEM-2","itemData":{"DOI":"10.1016/j.energy.2019.01.161","ISSN":"03605442","abstract":"Energy-related investment decisions in the buildings sector are heterogeneous in that the outcome for each individual varies according to budget, values, and perception of a technology, even if an apparently identical decision task is faced. In particular, the rate of adoption of new energy-efficient technologies is often hard to model and underlines the need for an advanced approach to capture diversity in decision-making, and enable the inclusion of economic, comfort, environmental and social aspects. This paper presents an enhanced agent-based model that captures several characteristics of consumer behaviour that influence investment decisions. Multiple agents with different objectives, search strategies, and decision methods are implemented. A case study is presented which illustrates the benefits of the approach for the residential sector in the UK. The agent-based method shows diversity in investment decisions, without requiring the constraints on uptake needed in many models. This leads to a range of technologies in the market during a transition phase, continuous investment in low capital cost technologies, and eventually the emergence of a low carbon system based on new mass market technologies. The system that emerges is vastly different from one observed when economically rational investment is assumed and uptake constraints are applied.","author":[{"dropping-particle":"","family":"Sachs","given":"Julia","non-dropping-particle":"","parse-names":false,"suffix":""},{"dropping-particle":"","family":"Meng","given":"Yiming","non-dropping-particle":"","parse-names":false,"suffix":""},{"dropping-particle":"","family":"Giarola","given":"Sara","non-dropping-particle":"","parse-names":false,"suffix":""},{"dropping-particle":"","family":"Hawkes","given":"Adam","non-dropping-particle":"","parse-names":false,"suffix":""}],"container-title":"Energy","id":"ITEM-2","issued":{"date-parts":[["2019"]]},"page":"752-768","publisher":"Elsevier Ltd","title":"An agent-based model for energy investment decisions in the residential sector","type":"article-journal","volume":"172"},"uris":["http://www.mendeley.com/documents/?uuid=30c4a57a-3e1e-4941-91fc-271d276c4748"]}],"mendeley":{"formattedCitation":"[5], [6]","plainTextFormattedCitation":"[5], [6]","previouslyFormattedCitation":"[4], [5]"},"properties":{"noteIndex":0},"schema":"https://github.com/citation-style-language/schema/raw/master/csl-citation.json"}</w:instrText>
      </w:r>
      <w:r w:rsidR="009A59B9">
        <w:rPr>
          <w:color w:val="000000" w:themeColor="text1"/>
        </w:rPr>
        <w:fldChar w:fldCharType="separate"/>
      </w:r>
      <w:r w:rsidR="008F4CEA" w:rsidRPr="008F4CEA">
        <w:rPr>
          <w:noProof/>
          <w:color w:val="000000" w:themeColor="text1"/>
        </w:rPr>
        <w:t>[5], [6]</w:t>
      </w:r>
      <w:r w:rsidR="009A59B9">
        <w:rPr>
          <w:color w:val="000000" w:themeColor="text1"/>
        </w:rPr>
        <w:fldChar w:fldCharType="end"/>
      </w:r>
      <w:r w:rsidR="00E30F15">
        <w:rPr>
          <w:color w:val="000000" w:themeColor="text1"/>
        </w:rPr>
        <w:t>, a novel open-source agent-based integrated assessment model, which can capture market imperfections due to the bounded rationality of agents</w:t>
      </w:r>
      <w:r w:rsidR="00AF1490">
        <w:rPr>
          <w:color w:val="000000" w:themeColor="text1"/>
        </w:rPr>
        <w:t xml:space="preserve"> with </w:t>
      </w:r>
      <w:proofErr w:type="spellStart"/>
      <w:r w:rsidR="00AF1490">
        <w:rPr>
          <w:color w:val="000000" w:themeColor="text1"/>
        </w:rPr>
        <w:t>OSeMOSYS</w:t>
      </w:r>
      <w:proofErr w:type="spellEnd"/>
      <w:r w:rsidR="00AF1490">
        <w:rPr>
          <w:color w:val="000000" w:themeColor="text1"/>
        </w:rPr>
        <w:t>, a systems</w:t>
      </w:r>
      <w:r w:rsidR="00E30F15" w:rsidRPr="00E30F15">
        <w:rPr>
          <w:color w:val="000000" w:themeColor="text1"/>
        </w:rPr>
        <w:t xml:space="preserve"> </w:t>
      </w:r>
      <w:r w:rsidR="00AF1490">
        <w:rPr>
          <w:color w:val="000000" w:themeColor="text1"/>
        </w:rPr>
        <w:t>optimization model for long-run energy planning</w:t>
      </w:r>
      <w:r w:rsidR="00DD4314">
        <w:rPr>
          <w:color w:val="000000" w:themeColor="text1"/>
        </w:rPr>
        <w:t xml:space="preserve"> </w:t>
      </w:r>
      <w:r w:rsidR="00DD4314">
        <w:rPr>
          <w:color w:val="000000" w:themeColor="text1"/>
        </w:rPr>
        <w:fldChar w:fldCharType="begin" w:fldLock="1"/>
      </w:r>
      <w:r w:rsidR="008F4CEA">
        <w:rPr>
          <w:color w:val="000000" w:themeColor="text1"/>
        </w:rPr>
        <w:instrText>ADDIN CSL_CITATION {"citationItems":[{"id":"ITEM-1","itemData":{"DOI":"10.1016/j.enpol.2011.06.033","ISSN":"03014215","abstract":"This paper discusses the design and development of the Open Source Energy Modeling System (OSeMOSYS). It describes the model's formulation in terms of a 'plain English' description, algebraic formulation, implementation-in terms of its full source code, as well as a detailed description of the model inputs, parameters, and outputs. A key feature of the OSeMOSYS implementation is that it is contained in less than five pages of documented, easily accessible code. Other existing energy system models that do not have this emphasis on compactness and openness makes the barrier to entry by new users much higher, as well as making the addition of innovative new functionality very difficult. The paper begins by describing the rationale for the development of OSeMOSYS and its structure. The current preliminary implementation of the model is then demonstrated for a discrete example. Next, we explain how new development efforts will build on the existing OSeMOSYS codebase. The paper closes with thoughts regarding the organization of the OSeMOSYS community, associated capacity development efforts, and linkages to other open source efforts including adding functionality to the LEAP model. © 2011 Elsevier Ltd.","author":[{"dropping-particle":"","family":"Howells","given":"Mark","non-dropping-particle":"","parse-names":false,"suffix":""},{"dropping-particle":"","family":"Rogner","given":"Holger","non-dropping-particle":"","parse-names":false,"suffix":""},{"dropping-particle":"","family":"Strachan","given":"Neil","non-dropping-particle":"","parse-names":false,"suffix":""},{"dropping-particle":"","family":"Heaps","given":"Charles","non-dropping-particle":"","parse-names":false,"suffix":""},{"dropping-particle":"","family":"Huntington","given":"Hillard","non-dropping-particle":"","parse-names":false,"suffix":""},{"dropping-particle":"","family":"Kypreos","given":"Socrates","non-dropping-particle":"","parse-names":false,"suffix":""},{"dropping-particle":"","family":"Hughes","given":"Alison","non-dropping-particle":"","parse-names":false,"suffix":""},{"dropping-particle":"","family":"Silveira","given":"Semida","non-dropping-particle":"","parse-names":false,"suffix":""},{"dropping-particle":"","family":"DeCarolis","given":"Joe","non-dropping-particle":"","parse-names":false,"suffix":""},{"dropping-particle":"","family":"Bazillian","given":"Morgan","non-dropping-particle":"","parse-names":false,"suffix":""},{"dropping-particle":"","family":"Roehrl","given":"Alexander","non-dropping-particle":"","parse-names":false,"suffix":""}],"container-title":"Energy Policy","id":"ITEM-1","issue":"10","issued":{"date-parts":[["2011","10"]]},"page":"5850-5870","title":"OSeMOSYS: The Open Source Energy Modeling System. An introduction to its ethos, structure and development.","type":"article-journal","volume":"39"},"uris":["http://www.mendeley.com/documents/?uuid=085f40a0-1bf7-3292-af90-f98c7ce19470"]}],"mendeley":{"formattedCitation":"[7]","plainTextFormattedCitation":"[7]","previouslyFormattedCitation":"[6]"},"properties":{"noteIndex":0},"schema":"https://github.com/citation-style-language/schema/raw/master/csl-citation.json"}</w:instrText>
      </w:r>
      <w:r w:rsidR="00DD4314">
        <w:rPr>
          <w:color w:val="000000" w:themeColor="text1"/>
        </w:rPr>
        <w:fldChar w:fldCharType="separate"/>
      </w:r>
      <w:r w:rsidR="008F4CEA" w:rsidRPr="008F4CEA">
        <w:rPr>
          <w:noProof/>
          <w:color w:val="000000" w:themeColor="text1"/>
        </w:rPr>
        <w:t>[7]</w:t>
      </w:r>
      <w:r w:rsidR="00DD4314">
        <w:rPr>
          <w:color w:val="000000" w:themeColor="text1"/>
        </w:rPr>
        <w:fldChar w:fldCharType="end"/>
      </w:r>
      <w:r w:rsidR="00AF1490">
        <w:rPr>
          <w:color w:val="000000" w:themeColor="text1"/>
        </w:rPr>
        <w:t>.</w:t>
      </w:r>
    </w:p>
    <w:p w14:paraId="7A41E439" w14:textId="4CDD5265" w:rsidR="00CD34AE" w:rsidRDefault="00CD34AE" w:rsidP="00E30F15">
      <w:pPr>
        <w:rPr>
          <w:color w:val="000000" w:themeColor="text1"/>
        </w:rPr>
      </w:pPr>
    </w:p>
    <w:p w14:paraId="61AED7E9" w14:textId="0B982B72" w:rsidR="00CD34AE" w:rsidRDefault="00E21E52" w:rsidP="00E30F15">
      <w:pPr>
        <w:rPr>
          <w:color w:val="000000" w:themeColor="text1"/>
        </w:rPr>
      </w:pPr>
      <w:r>
        <w:rPr>
          <w:color w:val="000000" w:themeColor="text1"/>
        </w:rPr>
        <w:t xml:space="preserve">The traditional approach to making long-term scenario projections is </w:t>
      </w:r>
      <w:r w:rsidR="00CE5C73">
        <w:rPr>
          <w:color w:val="000000" w:themeColor="text1"/>
        </w:rPr>
        <w:t>with</w:t>
      </w:r>
      <w:r w:rsidR="00CD34AE">
        <w:rPr>
          <w:color w:val="000000" w:themeColor="text1"/>
        </w:rPr>
        <w:t xml:space="preserve"> optimisation-based models.</w:t>
      </w:r>
      <w:r>
        <w:rPr>
          <w:color w:val="000000" w:themeColor="text1"/>
        </w:rPr>
        <w:t xml:space="preserve"> T</w:t>
      </w:r>
      <w:r w:rsidR="00CD34AE">
        <w:rPr>
          <w:color w:val="000000" w:themeColor="text1"/>
        </w:rPr>
        <w:t>hese models</w:t>
      </w:r>
      <w:r>
        <w:rPr>
          <w:color w:val="000000" w:themeColor="text1"/>
        </w:rPr>
        <w:t xml:space="preserve">, however, </w:t>
      </w:r>
      <w:r w:rsidR="00CD34AE">
        <w:rPr>
          <w:color w:val="000000" w:themeColor="text1"/>
        </w:rPr>
        <w:t xml:space="preserve">suffer from </w:t>
      </w:r>
      <w:r>
        <w:rPr>
          <w:color w:val="000000" w:themeColor="text1"/>
        </w:rPr>
        <w:t>several</w:t>
      </w:r>
      <w:r w:rsidR="00CD34AE">
        <w:rPr>
          <w:color w:val="000000" w:themeColor="text1"/>
        </w:rPr>
        <w:t xml:space="preserve"> limitations</w:t>
      </w:r>
      <w:r>
        <w:rPr>
          <w:color w:val="000000" w:themeColor="text1"/>
        </w:rPr>
        <w:t>:</w:t>
      </w:r>
      <w:r w:rsidR="00CD34AE">
        <w:rPr>
          <w:color w:val="000000" w:themeColor="text1"/>
        </w:rPr>
        <w:t xml:space="preserve"> </w:t>
      </w:r>
      <w:r>
        <w:rPr>
          <w:color w:val="000000" w:themeColor="text1"/>
        </w:rPr>
        <w:t>t</w:t>
      </w:r>
      <w:r w:rsidR="00CD34AE">
        <w:rPr>
          <w:color w:val="000000" w:themeColor="text1"/>
        </w:rPr>
        <w:t xml:space="preserve">hey assume a </w:t>
      </w:r>
      <w:proofErr w:type="gramStart"/>
      <w:r w:rsidR="00CD34AE">
        <w:rPr>
          <w:color w:val="000000" w:themeColor="text1"/>
        </w:rPr>
        <w:t>central actor co-ordinates investment decision</w:t>
      </w:r>
      <w:r w:rsidR="004744C1">
        <w:rPr>
          <w:color w:val="000000" w:themeColor="text1"/>
        </w:rPr>
        <w:t>s</w:t>
      </w:r>
      <w:proofErr w:type="gramEnd"/>
      <w:r w:rsidR="00CD34AE">
        <w:rPr>
          <w:color w:val="000000" w:themeColor="text1"/>
        </w:rPr>
        <w:t xml:space="preserve"> within an energy system, that this central actor has perfect knowledge of the future and that the ultimate goal</w:t>
      </w:r>
      <w:r w:rsidR="004744C1">
        <w:rPr>
          <w:color w:val="000000" w:themeColor="text1"/>
        </w:rPr>
        <w:t xml:space="preserve"> of this actor</w:t>
      </w:r>
      <w:r w:rsidR="00CD34AE">
        <w:rPr>
          <w:color w:val="000000" w:themeColor="text1"/>
        </w:rPr>
        <w:t xml:space="preserve"> is cost minimization. </w:t>
      </w:r>
      <w:r w:rsidR="004744C1">
        <w:rPr>
          <w:color w:val="000000" w:themeColor="text1"/>
        </w:rPr>
        <w:t xml:space="preserve">These models, however, do not characterize individual investor behaviour, which may deviate from </w:t>
      </w:r>
      <w:r>
        <w:rPr>
          <w:color w:val="000000" w:themeColor="text1"/>
        </w:rPr>
        <w:t xml:space="preserve">a </w:t>
      </w:r>
      <w:r w:rsidR="004744C1">
        <w:rPr>
          <w:color w:val="000000" w:themeColor="text1"/>
        </w:rPr>
        <w:t xml:space="preserve">simple cost-minimization </w:t>
      </w:r>
      <w:r>
        <w:rPr>
          <w:color w:val="000000" w:themeColor="text1"/>
        </w:rPr>
        <w:t xml:space="preserve">approach. These drivers can be explained by a </w:t>
      </w:r>
      <w:r w:rsidR="004744C1">
        <w:rPr>
          <w:color w:val="000000" w:themeColor="text1"/>
        </w:rPr>
        <w:t>sociolog</w:t>
      </w:r>
      <w:r>
        <w:rPr>
          <w:color w:val="000000" w:themeColor="text1"/>
        </w:rPr>
        <w:t>ical</w:t>
      </w:r>
      <w:r w:rsidR="004744C1">
        <w:rPr>
          <w:color w:val="000000" w:themeColor="text1"/>
        </w:rPr>
        <w:t>, psycholog</w:t>
      </w:r>
      <w:r>
        <w:rPr>
          <w:color w:val="000000" w:themeColor="text1"/>
        </w:rPr>
        <w:t xml:space="preserve">ical </w:t>
      </w:r>
      <w:r w:rsidR="004744C1">
        <w:rPr>
          <w:color w:val="000000" w:themeColor="text1"/>
        </w:rPr>
        <w:t>and organizational</w:t>
      </w:r>
      <w:r>
        <w:rPr>
          <w:color w:val="000000" w:themeColor="text1"/>
        </w:rPr>
        <w:t xml:space="preserve"> approach </w:t>
      </w:r>
      <w:r w:rsidR="004744C1">
        <w:rPr>
          <w:color w:val="000000" w:themeColor="text1"/>
        </w:rPr>
        <w:fldChar w:fldCharType="begin" w:fldLock="1"/>
      </w:r>
      <w:r w:rsidR="008F4CEA">
        <w:rPr>
          <w:color w:val="000000" w:themeColor="text1"/>
        </w:rPr>
        <w:instrText>ADDIN CSL_CITATION {"citationItems":[{"id":"ITEM-1","itemData":{"DOI":"10.1038/d41586-021-01500-2","ISSN":"14764687","PMID":"34103720","author":[{"dropping-particle":"","family":"Peng","given":"Wei","non-dropping-particle":"","parse-names":false,"suffix":""},{"dropping-particle":"","family":"Iyer","given":"Gokul","non-dropping-particle":"","parse-names":false,"suffix":""},{"dropping-particle":"","family":"Bosetti","given":"Valentina","non-dropping-particle":"","parse-names":false,"suffix":""},{"dropping-particle":"","family":"Chaturvedi","given":"Vaibhav","non-dropping-particle":"","parse-names":false,"suffix":""},{"dropping-particle":"","family":"Edmonds","given":"James","non-dropping-particle":"","parse-names":false,"suffix":""},{"dropping-particle":"","family":"Fawcett","given":"Allen A.","non-dropping-particle":"","parse-names":false,"suffix":""},{"dropping-particle":"","family":"Hallegatte","given":"Stéphane","non-dropping-particle":"","parse-names":false,"suffix":""},{"dropping-particle":"","family":"Victor","given":"David G.","non-dropping-particle":"","parse-names":false,"suffix":""},{"dropping-particle":"","family":"Vuuren","given":"Detlef","non-dropping-particle":"van","parse-names":false,"suffix":""},{"dropping-particle":"","family":"Weyant","given":"John","non-dropping-particle":"","parse-names":false,"suffix":""}],"container-title":"Nature","id":"ITEM-1","issue":"7862","issued":{"date-parts":[["2021"]]},"page":"174-176","title":"Climate policy models need to get real about people - here's how","type":"article-journal","volume":"594"},"uris":["http://www.mendeley.com/documents/?uuid=110a2446-217b-413a-81cd-3b239d524cb1"]}],"mendeley":{"formattedCitation":"[8]","plainTextFormattedCitation":"[8]","previouslyFormattedCitation":"[7]"},"properties":{"noteIndex":0},"schema":"https://github.com/citation-style-language/schema/raw/master/csl-citation.json"}</w:instrText>
      </w:r>
      <w:r w:rsidR="004744C1">
        <w:rPr>
          <w:color w:val="000000" w:themeColor="text1"/>
        </w:rPr>
        <w:fldChar w:fldCharType="separate"/>
      </w:r>
      <w:r w:rsidR="008F4CEA" w:rsidRPr="008F4CEA">
        <w:rPr>
          <w:noProof/>
          <w:color w:val="000000" w:themeColor="text1"/>
        </w:rPr>
        <w:t>[8]</w:t>
      </w:r>
      <w:r w:rsidR="004744C1">
        <w:rPr>
          <w:color w:val="000000" w:themeColor="text1"/>
        </w:rPr>
        <w:fldChar w:fldCharType="end"/>
      </w:r>
      <w:r w:rsidR="004744C1">
        <w:rPr>
          <w:color w:val="000000" w:themeColor="text1"/>
        </w:rPr>
        <w:t>.</w:t>
      </w:r>
    </w:p>
    <w:p w14:paraId="2CE4A222" w14:textId="5A2CCF43" w:rsidR="004744C1" w:rsidRDefault="004744C1" w:rsidP="00E30F15">
      <w:pPr>
        <w:rPr>
          <w:color w:val="000000" w:themeColor="text1"/>
        </w:rPr>
      </w:pPr>
    </w:p>
    <w:p w14:paraId="0418202D" w14:textId="370447F0" w:rsidR="004744C1" w:rsidRDefault="004744C1" w:rsidP="00E30F15">
      <w:pPr>
        <w:rPr>
          <w:color w:val="000000" w:themeColor="text1"/>
        </w:rPr>
      </w:pPr>
      <w:r>
        <w:rPr>
          <w:color w:val="000000" w:themeColor="text1"/>
        </w:rPr>
        <w:t xml:space="preserve">In recent years, agent-based models have been developed with a view to model heterogenous investor behaviour, limited </w:t>
      </w:r>
      <w:r w:rsidR="00F4095A">
        <w:rPr>
          <w:color w:val="000000" w:themeColor="text1"/>
        </w:rPr>
        <w:t>foresight,</w:t>
      </w:r>
      <w:r>
        <w:rPr>
          <w:color w:val="000000" w:themeColor="text1"/>
        </w:rPr>
        <w:t xml:space="preserve"> and bounded rationality. </w:t>
      </w:r>
      <w:r w:rsidR="000605C4">
        <w:rPr>
          <w:color w:val="000000" w:themeColor="text1"/>
        </w:rPr>
        <w:t>Agent-based models</w:t>
      </w:r>
      <w:r w:rsidR="00E21E52">
        <w:rPr>
          <w:color w:val="000000" w:themeColor="text1"/>
        </w:rPr>
        <w:t xml:space="preserve"> can</w:t>
      </w:r>
      <w:r w:rsidR="000605C4">
        <w:rPr>
          <w:color w:val="000000" w:themeColor="text1"/>
        </w:rPr>
        <w:t xml:space="preserve">, therefore, offer a complimentary methodology to traditional </w:t>
      </w:r>
      <w:r w:rsidR="00B2573C">
        <w:rPr>
          <w:color w:val="000000" w:themeColor="text1"/>
        </w:rPr>
        <w:t>optimisation-based</w:t>
      </w:r>
      <w:r w:rsidR="000605C4">
        <w:rPr>
          <w:color w:val="000000" w:themeColor="text1"/>
        </w:rPr>
        <w:t xml:space="preserve"> approaches</w:t>
      </w:r>
      <w:r w:rsidR="00E21E52">
        <w:rPr>
          <w:color w:val="000000" w:themeColor="text1"/>
        </w:rPr>
        <w:t>. This provide</w:t>
      </w:r>
      <w:r w:rsidR="00CE5C73">
        <w:rPr>
          <w:color w:val="000000" w:themeColor="text1"/>
        </w:rPr>
        <w:t xml:space="preserve">s </w:t>
      </w:r>
      <w:r w:rsidR="000605C4">
        <w:rPr>
          <w:color w:val="000000" w:themeColor="text1"/>
        </w:rPr>
        <w:t xml:space="preserve">policy makers with </w:t>
      </w:r>
      <w:r w:rsidR="00B2573C">
        <w:rPr>
          <w:color w:val="000000" w:themeColor="text1"/>
        </w:rPr>
        <w:t>additional information and knowledge</w:t>
      </w:r>
      <w:r w:rsidR="00E21E52">
        <w:rPr>
          <w:color w:val="000000" w:themeColor="text1"/>
        </w:rPr>
        <w:t xml:space="preserve"> that would have been lacking by relying solely on the traditional, </w:t>
      </w:r>
      <w:r w:rsidR="00CE5C73">
        <w:rPr>
          <w:color w:val="000000" w:themeColor="text1"/>
        </w:rPr>
        <w:t>optimisation-based</w:t>
      </w:r>
      <w:r w:rsidR="00E21E52">
        <w:rPr>
          <w:color w:val="000000" w:themeColor="text1"/>
        </w:rPr>
        <w:t xml:space="preserve"> </w:t>
      </w:r>
      <w:r w:rsidR="00CE5C73">
        <w:rPr>
          <w:color w:val="000000" w:themeColor="text1"/>
        </w:rPr>
        <w:t>methods</w:t>
      </w:r>
      <w:r w:rsidR="002B41F0">
        <w:rPr>
          <w:color w:val="000000" w:themeColor="text1"/>
        </w:rPr>
        <w:t>.</w:t>
      </w:r>
    </w:p>
    <w:p w14:paraId="29BB04BA" w14:textId="05980A51" w:rsidR="00B2573C" w:rsidRDefault="00B2573C" w:rsidP="00E30F15">
      <w:pPr>
        <w:rPr>
          <w:color w:val="000000" w:themeColor="text1"/>
        </w:rPr>
      </w:pPr>
    </w:p>
    <w:p w14:paraId="34D0869D" w14:textId="3B8991D9" w:rsidR="00D9113D" w:rsidRDefault="00E21E52" w:rsidP="00E30F15">
      <w:pPr>
        <w:rPr>
          <w:color w:val="000000" w:themeColor="text1"/>
        </w:rPr>
      </w:pPr>
      <w:r>
        <w:rPr>
          <w:color w:val="000000" w:themeColor="text1"/>
        </w:rPr>
        <w:t xml:space="preserve">The model which will be investigated in this work, </w:t>
      </w:r>
      <w:r w:rsidR="00D9113D">
        <w:rPr>
          <w:color w:val="000000" w:themeColor="text1"/>
        </w:rPr>
        <w:t>MUSE</w:t>
      </w:r>
      <w:r>
        <w:rPr>
          <w:color w:val="000000" w:themeColor="text1"/>
        </w:rPr>
        <w:t>,</w:t>
      </w:r>
      <w:r w:rsidR="00D9113D">
        <w:rPr>
          <w:color w:val="000000" w:themeColor="text1"/>
        </w:rPr>
        <w:t xml:space="preserve"> identifies plausible alternative mitigation pathways through explicit bottom-up modelling of technologies</w:t>
      </w:r>
      <w:r>
        <w:rPr>
          <w:color w:val="000000" w:themeColor="text1"/>
        </w:rPr>
        <w:t xml:space="preserve">. MUSE </w:t>
      </w:r>
      <w:r w:rsidR="00D9113D">
        <w:rPr>
          <w:color w:val="000000" w:themeColor="text1"/>
        </w:rPr>
        <w:t>model</w:t>
      </w:r>
      <w:r>
        <w:rPr>
          <w:color w:val="000000" w:themeColor="text1"/>
        </w:rPr>
        <w:t xml:space="preserve">s </w:t>
      </w:r>
      <w:r w:rsidR="00D9113D">
        <w:rPr>
          <w:color w:val="000000" w:themeColor="text1"/>
        </w:rPr>
        <w:t>detailed operating and capital cost projections per technology</w:t>
      </w:r>
      <w:r>
        <w:rPr>
          <w:color w:val="000000" w:themeColor="text1"/>
        </w:rPr>
        <w:t>, amongst other physical properties</w:t>
      </w:r>
      <w:r w:rsidR="00CE5C73">
        <w:rPr>
          <w:color w:val="000000" w:themeColor="text1"/>
        </w:rPr>
        <w:t xml:space="preserve"> such as utilization factor</w:t>
      </w:r>
      <w:r w:rsidR="00D9113D">
        <w:rPr>
          <w:color w:val="000000" w:themeColor="text1"/>
        </w:rPr>
        <w:t xml:space="preserve">. MUSE </w:t>
      </w:r>
      <w:r>
        <w:rPr>
          <w:color w:val="000000" w:themeColor="text1"/>
        </w:rPr>
        <w:t>models</w:t>
      </w:r>
      <w:r w:rsidR="00D9113D">
        <w:rPr>
          <w:color w:val="000000" w:themeColor="text1"/>
        </w:rPr>
        <w:t xml:space="preserve"> economies of scale</w:t>
      </w:r>
      <w:r>
        <w:rPr>
          <w:color w:val="000000" w:themeColor="text1"/>
        </w:rPr>
        <w:t xml:space="preserve"> through the reduction in</w:t>
      </w:r>
      <w:r w:rsidR="00D9113D">
        <w:rPr>
          <w:color w:val="000000" w:themeColor="text1"/>
        </w:rPr>
        <w:t xml:space="preserve"> price of technologies</w:t>
      </w:r>
      <w:r>
        <w:rPr>
          <w:color w:val="000000" w:themeColor="text1"/>
        </w:rPr>
        <w:t>,</w:t>
      </w:r>
      <w:r w:rsidR="00D9113D">
        <w:rPr>
          <w:color w:val="000000" w:themeColor="text1"/>
        </w:rPr>
        <w:t xml:space="preserve"> </w:t>
      </w:r>
      <w:r w:rsidR="00CE5C73">
        <w:rPr>
          <w:color w:val="000000" w:themeColor="text1"/>
        </w:rPr>
        <w:t xml:space="preserve">which reduces </w:t>
      </w:r>
      <w:r w:rsidR="00D9113D">
        <w:rPr>
          <w:color w:val="000000" w:themeColor="text1"/>
        </w:rPr>
        <w:t>proportional</w:t>
      </w:r>
      <w:r w:rsidR="00CE5C73">
        <w:rPr>
          <w:color w:val="000000" w:themeColor="text1"/>
        </w:rPr>
        <w:t xml:space="preserve">ly </w:t>
      </w:r>
      <w:r w:rsidR="00D9113D">
        <w:rPr>
          <w:color w:val="000000" w:themeColor="text1"/>
        </w:rPr>
        <w:t xml:space="preserve">with installed capacity. </w:t>
      </w:r>
      <w:r w:rsidR="001D5BB6">
        <w:rPr>
          <w:color w:val="000000" w:themeColor="text1"/>
        </w:rPr>
        <w:t>MUSE model</w:t>
      </w:r>
      <w:r>
        <w:rPr>
          <w:color w:val="000000" w:themeColor="text1"/>
        </w:rPr>
        <w:t xml:space="preserve">s </w:t>
      </w:r>
      <w:r w:rsidR="001D5BB6">
        <w:rPr>
          <w:color w:val="000000" w:themeColor="text1"/>
        </w:rPr>
        <w:t>agents as independent investors which can prioritise</w:t>
      </w:r>
      <w:r>
        <w:rPr>
          <w:color w:val="000000" w:themeColor="text1"/>
        </w:rPr>
        <w:t xml:space="preserve"> different objectives such as</w:t>
      </w:r>
      <w:r w:rsidR="00663EA1">
        <w:rPr>
          <w:color w:val="000000" w:themeColor="text1"/>
        </w:rPr>
        <w:t xml:space="preserve"> cost minimisation, </w:t>
      </w:r>
      <w:r w:rsidR="00CE5C73">
        <w:rPr>
          <w:color w:val="000000" w:themeColor="text1"/>
        </w:rPr>
        <w:t>comfort,</w:t>
      </w:r>
      <w:r w:rsidR="00663EA1">
        <w:rPr>
          <w:color w:val="000000" w:themeColor="text1"/>
        </w:rPr>
        <w:t xml:space="preserve"> or fuel cost</w:t>
      </w:r>
      <w:r>
        <w:rPr>
          <w:color w:val="000000" w:themeColor="text1"/>
        </w:rPr>
        <w:t>s</w:t>
      </w:r>
      <w:r w:rsidR="00663EA1">
        <w:rPr>
          <w:color w:val="000000" w:themeColor="text1"/>
        </w:rPr>
        <w:t>.</w:t>
      </w:r>
      <w:r w:rsidR="00024291">
        <w:rPr>
          <w:color w:val="000000" w:themeColor="text1"/>
        </w:rPr>
        <w:t xml:space="preserve"> Further, MUSE models investor behaviour based on limited knowledge of the future. This more closely models the behaviour of real-life investors </w:t>
      </w:r>
      <w:r>
        <w:rPr>
          <w:color w:val="000000" w:themeColor="text1"/>
        </w:rPr>
        <w:t>who</w:t>
      </w:r>
      <w:r w:rsidR="00024291">
        <w:rPr>
          <w:color w:val="000000" w:themeColor="text1"/>
        </w:rPr>
        <w:t xml:space="preserve"> must make decisions under</w:t>
      </w:r>
      <w:r>
        <w:rPr>
          <w:color w:val="000000" w:themeColor="text1"/>
        </w:rPr>
        <w:t xml:space="preserve"> </w:t>
      </w:r>
      <w:r w:rsidR="00024291">
        <w:rPr>
          <w:color w:val="000000" w:themeColor="text1"/>
        </w:rPr>
        <w:t>uncertainty</w:t>
      </w:r>
      <w:r>
        <w:rPr>
          <w:color w:val="000000" w:themeColor="text1"/>
        </w:rPr>
        <w:t xml:space="preserve"> of the future</w:t>
      </w:r>
      <w:r w:rsidR="00024291">
        <w:rPr>
          <w:color w:val="000000" w:themeColor="text1"/>
        </w:rPr>
        <w:t xml:space="preserve">. This </w:t>
      </w:r>
      <w:proofErr w:type="gramStart"/>
      <w:r>
        <w:rPr>
          <w:color w:val="000000" w:themeColor="text1"/>
        </w:rPr>
        <w:t xml:space="preserve">is in </w:t>
      </w:r>
      <w:r w:rsidR="00024291">
        <w:rPr>
          <w:color w:val="000000" w:themeColor="text1"/>
        </w:rPr>
        <w:t>contrast</w:t>
      </w:r>
      <w:r>
        <w:rPr>
          <w:color w:val="000000" w:themeColor="text1"/>
        </w:rPr>
        <w:t xml:space="preserve"> </w:t>
      </w:r>
      <w:r w:rsidR="00024291">
        <w:rPr>
          <w:color w:val="000000" w:themeColor="text1"/>
        </w:rPr>
        <w:t>to</w:t>
      </w:r>
      <w:proofErr w:type="gramEnd"/>
      <w:r w:rsidR="00024291">
        <w:rPr>
          <w:color w:val="000000" w:themeColor="text1"/>
        </w:rPr>
        <w:t xml:space="preserve"> </w:t>
      </w:r>
      <w:r w:rsidR="00CE5C73">
        <w:rPr>
          <w:color w:val="000000" w:themeColor="text1"/>
        </w:rPr>
        <w:lastRenderedPageBreak/>
        <w:t xml:space="preserve">the </w:t>
      </w:r>
      <w:r w:rsidR="00024291">
        <w:rPr>
          <w:color w:val="000000" w:themeColor="text1"/>
        </w:rPr>
        <w:t xml:space="preserve">traditional </w:t>
      </w:r>
      <w:r w:rsidR="00CE5C73">
        <w:rPr>
          <w:color w:val="000000" w:themeColor="text1"/>
        </w:rPr>
        <w:t>optimisation-based</w:t>
      </w:r>
      <w:r w:rsidR="00024291">
        <w:rPr>
          <w:color w:val="000000" w:themeColor="text1"/>
        </w:rPr>
        <w:t xml:space="preserve"> approach</w:t>
      </w:r>
      <w:r>
        <w:rPr>
          <w:color w:val="000000" w:themeColor="text1"/>
        </w:rPr>
        <w:t>, which assumes knowledge of the future is known at the start of the simulation</w:t>
      </w:r>
      <w:r w:rsidR="00024291">
        <w:rPr>
          <w:color w:val="000000" w:themeColor="text1"/>
        </w:rPr>
        <w:t>.</w:t>
      </w:r>
    </w:p>
    <w:p w14:paraId="4274B73D" w14:textId="77777777" w:rsidR="00D9113D" w:rsidRDefault="00D9113D" w:rsidP="00E30F15">
      <w:pPr>
        <w:rPr>
          <w:color w:val="000000" w:themeColor="text1"/>
        </w:rPr>
      </w:pPr>
    </w:p>
    <w:p w14:paraId="0AC989E8" w14:textId="27ACFBF0" w:rsidR="00D56C2F" w:rsidRPr="00EC4330" w:rsidRDefault="0055715B" w:rsidP="00D56C2F">
      <w:pPr>
        <w:rPr>
          <w:color w:val="000000" w:themeColor="text1"/>
        </w:rPr>
      </w:pPr>
      <w:r>
        <w:rPr>
          <w:color w:val="000000" w:themeColor="text1"/>
        </w:rPr>
        <w:t>Currently two-thirds of Kenya’s energy currently comes from bioenergy</w:t>
      </w:r>
      <w:r w:rsidR="009A59B9">
        <w:rPr>
          <w:color w:val="000000" w:themeColor="text1"/>
        </w:rPr>
        <w:t xml:space="preserve"> </w:t>
      </w:r>
      <w:r w:rsidR="009A59B9">
        <w:rPr>
          <w:color w:val="000000" w:themeColor="text1"/>
        </w:rPr>
        <w:fldChar w:fldCharType="begin" w:fldLock="1"/>
      </w:r>
      <w:r w:rsidR="008F4CEA">
        <w:rPr>
          <w:color w:val="000000" w:themeColor="text1"/>
        </w:rPr>
        <w:instrText>ADDIN CSL_CITATION {"citationItems":[{"id":"ITEM-1","itemData":{"author":[{"dropping-particle":"","family":"IEA","given":"","non-dropping-particle":"","parse-names":false,"suffix":""}],"id":"ITEM-1","issued":{"date-parts":[["2019"]]},"title":"Kenya Energy Outlook","type":"webpage"},"uris":["http://www.mendeley.com/documents/?uuid=4e98a9c8-5d6d-4162-83b3-727e1ca4e2d3"]}],"mendeley":{"formattedCitation":"[3]","plainTextFormattedCitation":"[3]","previouslyFormattedCitation":"[8]"},"properties":{"noteIndex":0},"schema":"https://github.com/citation-style-language/schema/raw/master/csl-citation.json"}</w:instrText>
      </w:r>
      <w:r w:rsidR="009A59B9">
        <w:rPr>
          <w:color w:val="000000" w:themeColor="text1"/>
        </w:rPr>
        <w:fldChar w:fldCharType="separate"/>
      </w:r>
      <w:r w:rsidR="008F4CEA" w:rsidRPr="008F4CEA">
        <w:rPr>
          <w:noProof/>
          <w:color w:val="000000" w:themeColor="text1"/>
        </w:rPr>
        <w:t>[3]</w:t>
      </w:r>
      <w:r w:rsidR="009A59B9">
        <w:rPr>
          <w:color w:val="000000" w:themeColor="text1"/>
        </w:rPr>
        <w:fldChar w:fldCharType="end"/>
      </w:r>
      <w:r>
        <w:rPr>
          <w:color w:val="000000" w:themeColor="text1"/>
        </w:rPr>
        <w:t>. However, the ability of geothermal resources, solar and wind, amongst others to fill this gap and reduce emissions from the power sector will be explored. The limitations and differences between the model results will be surveyed</w:t>
      </w:r>
      <w:r w:rsidR="009D2642">
        <w:rPr>
          <w:color w:val="000000" w:themeColor="text1"/>
        </w:rPr>
        <w:t xml:space="preserve"> and contrasted</w:t>
      </w:r>
      <w:r w:rsidR="00282882">
        <w:rPr>
          <w:color w:val="000000" w:themeColor="text1"/>
        </w:rPr>
        <w:t xml:space="preserve"> and put into a wider context.</w:t>
      </w:r>
    </w:p>
    <w:p w14:paraId="7258C11B" w14:textId="70BC40A7" w:rsidR="00B608FB" w:rsidRDefault="00D56C2F" w:rsidP="006957CB">
      <w:r>
        <w:t xml:space="preserve"> </w:t>
      </w:r>
    </w:p>
    <w:p w14:paraId="40137964" w14:textId="77777777" w:rsidR="00D56C2F" w:rsidRPr="006957CB" w:rsidRDefault="00D56C2F" w:rsidP="006957CB"/>
    <w:p w14:paraId="70D3D683" w14:textId="3845FCA4" w:rsidR="00644326" w:rsidRDefault="006957CB" w:rsidP="006957CB">
      <w:pPr>
        <w:pStyle w:val="Heading2"/>
      </w:pPr>
      <w:r>
        <w:t>References</w:t>
      </w:r>
    </w:p>
    <w:p w14:paraId="05B30A12" w14:textId="39FF413E" w:rsidR="008F4CEA" w:rsidRPr="008F4CEA" w:rsidRDefault="006957CB" w:rsidP="008F4CEA">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008F4CEA" w:rsidRPr="008F4CEA">
        <w:rPr>
          <w:rFonts w:ascii="Calibri" w:hAnsi="Calibri" w:cs="Calibri"/>
          <w:noProof/>
        </w:rPr>
        <w:t>[1]</w:t>
      </w:r>
      <w:r w:rsidR="008F4CEA" w:rsidRPr="008F4CEA">
        <w:rPr>
          <w:rFonts w:ascii="Calibri" w:hAnsi="Calibri" w:cs="Calibri"/>
          <w:noProof/>
        </w:rPr>
        <w:tab/>
        <w:t xml:space="preserve">“Paris Agreement,” </w:t>
      </w:r>
      <w:r w:rsidR="008F4CEA" w:rsidRPr="008F4CEA">
        <w:rPr>
          <w:rFonts w:ascii="Calibri" w:hAnsi="Calibri" w:cs="Calibri"/>
          <w:i/>
          <w:iCs/>
          <w:noProof/>
        </w:rPr>
        <w:t>United Nations</w:t>
      </w:r>
      <w:r w:rsidR="008F4CEA" w:rsidRPr="008F4CEA">
        <w:rPr>
          <w:rFonts w:ascii="Calibri" w:hAnsi="Calibri" w:cs="Calibri"/>
          <w:noProof/>
        </w:rPr>
        <w:t>, vol. 21, pp. 1–23, 2015.</w:t>
      </w:r>
    </w:p>
    <w:p w14:paraId="4095FF53" w14:textId="77777777" w:rsidR="008F4CEA" w:rsidRPr="008F4CEA" w:rsidRDefault="008F4CEA" w:rsidP="008F4CEA">
      <w:pPr>
        <w:widowControl w:val="0"/>
        <w:autoSpaceDE w:val="0"/>
        <w:autoSpaceDN w:val="0"/>
        <w:adjustRightInd w:val="0"/>
        <w:ind w:left="640" w:hanging="640"/>
        <w:rPr>
          <w:rFonts w:ascii="Calibri" w:hAnsi="Calibri" w:cs="Calibri"/>
          <w:noProof/>
        </w:rPr>
      </w:pPr>
      <w:r w:rsidRPr="008F4CEA">
        <w:rPr>
          <w:rFonts w:ascii="Calibri" w:hAnsi="Calibri" w:cs="Calibri"/>
          <w:noProof/>
        </w:rPr>
        <w:t>[2]</w:t>
      </w:r>
      <w:r w:rsidRPr="008F4CEA">
        <w:rPr>
          <w:rFonts w:ascii="Calibri" w:hAnsi="Calibri" w:cs="Calibri"/>
          <w:noProof/>
        </w:rPr>
        <w:tab/>
        <w:t xml:space="preserve">M. M. Garcia and S. Hawes, “Africa Energy Outlook 2019,” </w:t>
      </w:r>
      <w:r w:rsidRPr="008F4CEA">
        <w:rPr>
          <w:rFonts w:ascii="Calibri" w:hAnsi="Calibri" w:cs="Calibri"/>
          <w:i/>
          <w:iCs/>
          <w:noProof/>
        </w:rPr>
        <w:t>Energy Outlook</w:t>
      </w:r>
      <w:r w:rsidRPr="008F4CEA">
        <w:rPr>
          <w:rFonts w:ascii="Calibri" w:hAnsi="Calibri" w:cs="Calibri"/>
          <w:noProof/>
        </w:rPr>
        <w:t>, 2021, [Online]. Available: https://webstore.iea.org/africa-energy-outlook-2019.</w:t>
      </w:r>
    </w:p>
    <w:p w14:paraId="5570E220" w14:textId="77777777" w:rsidR="008F4CEA" w:rsidRPr="008F4CEA" w:rsidRDefault="008F4CEA" w:rsidP="008F4CEA">
      <w:pPr>
        <w:widowControl w:val="0"/>
        <w:autoSpaceDE w:val="0"/>
        <w:autoSpaceDN w:val="0"/>
        <w:adjustRightInd w:val="0"/>
        <w:ind w:left="640" w:hanging="640"/>
        <w:rPr>
          <w:rFonts w:ascii="Calibri" w:hAnsi="Calibri" w:cs="Calibri"/>
          <w:noProof/>
        </w:rPr>
      </w:pPr>
      <w:r w:rsidRPr="008F4CEA">
        <w:rPr>
          <w:rFonts w:ascii="Calibri" w:hAnsi="Calibri" w:cs="Calibri"/>
          <w:noProof/>
        </w:rPr>
        <w:t>[3]</w:t>
      </w:r>
      <w:r w:rsidRPr="008F4CEA">
        <w:rPr>
          <w:rFonts w:ascii="Calibri" w:hAnsi="Calibri" w:cs="Calibri"/>
          <w:noProof/>
        </w:rPr>
        <w:tab/>
        <w:t>IEA, “Kenya Energy Outlook,” 2019. .</w:t>
      </w:r>
    </w:p>
    <w:p w14:paraId="669FD0B2" w14:textId="77777777" w:rsidR="008F4CEA" w:rsidRPr="008F4CEA" w:rsidRDefault="008F4CEA" w:rsidP="008F4CEA">
      <w:pPr>
        <w:widowControl w:val="0"/>
        <w:autoSpaceDE w:val="0"/>
        <w:autoSpaceDN w:val="0"/>
        <w:adjustRightInd w:val="0"/>
        <w:ind w:left="640" w:hanging="640"/>
        <w:rPr>
          <w:rFonts w:ascii="Calibri" w:hAnsi="Calibri" w:cs="Calibri"/>
          <w:noProof/>
        </w:rPr>
      </w:pPr>
      <w:r w:rsidRPr="008F4CEA">
        <w:rPr>
          <w:rFonts w:ascii="Calibri" w:hAnsi="Calibri" w:cs="Calibri"/>
          <w:noProof/>
        </w:rPr>
        <w:t>[4]</w:t>
      </w:r>
      <w:r w:rsidRPr="008F4CEA">
        <w:rPr>
          <w:rFonts w:ascii="Calibri" w:hAnsi="Calibri" w:cs="Calibri"/>
          <w:noProof/>
        </w:rPr>
        <w:tab/>
        <w:t xml:space="preserve">F. Dalla Longa and B. van der Zwaan, “Do Kenya’s climate change mitigation ambitions necessitate large-scale renewable energy deployment and dedicated low-carbon energy policy?,” </w:t>
      </w:r>
      <w:r w:rsidRPr="008F4CEA">
        <w:rPr>
          <w:rFonts w:ascii="Calibri" w:hAnsi="Calibri" w:cs="Calibri"/>
          <w:i/>
          <w:iCs/>
          <w:noProof/>
        </w:rPr>
        <w:t>Renew. Energy</w:t>
      </w:r>
      <w:r w:rsidRPr="008F4CEA">
        <w:rPr>
          <w:rFonts w:ascii="Calibri" w:hAnsi="Calibri" w:cs="Calibri"/>
          <w:noProof/>
        </w:rPr>
        <w:t>, vol. 113, pp. 1559–1568, 2017, doi: 10.1016/j.renene.2017.06.026.</w:t>
      </w:r>
    </w:p>
    <w:p w14:paraId="1C162C29" w14:textId="77777777" w:rsidR="008F4CEA" w:rsidRPr="008F4CEA" w:rsidRDefault="008F4CEA" w:rsidP="008F4CEA">
      <w:pPr>
        <w:widowControl w:val="0"/>
        <w:autoSpaceDE w:val="0"/>
        <w:autoSpaceDN w:val="0"/>
        <w:adjustRightInd w:val="0"/>
        <w:ind w:left="640" w:hanging="640"/>
        <w:rPr>
          <w:rFonts w:ascii="Calibri" w:hAnsi="Calibri" w:cs="Calibri"/>
          <w:noProof/>
        </w:rPr>
      </w:pPr>
      <w:r w:rsidRPr="008F4CEA">
        <w:rPr>
          <w:rFonts w:ascii="Calibri" w:hAnsi="Calibri" w:cs="Calibri"/>
          <w:noProof/>
        </w:rPr>
        <w:t>[5]</w:t>
      </w:r>
      <w:r w:rsidRPr="008F4CEA">
        <w:rPr>
          <w:rFonts w:ascii="Calibri" w:hAnsi="Calibri" w:cs="Calibri"/>
          <w:noProof/>
        </w:rPr>
        <w:tab/>
        <w:t xml:space="preserve">S. Giarola </w:t>
      </w:r>
      <w:r w:rsidRPr="008F4CEA">
        <w:rPr>
          <w:rFonts w:ascii="Calibri" w:hAnsi="Calibri" w:cs="Calibri"/>
          <w:i/>
          <w:iCs/>
          <w:noProof/>
        </w:rPr>
        <w:t>et al.</w:t>
      </w:r>
      <w:r w:rsidRPr="008F4CEA">
        <w:rPr>
          <w:rFonts w:ascii="Calibri" w:hAnsi="Calibri" w:cs="Calibri"/>
          <w:noProof/>
        </w:rPr>
        <w:t xml:space="preserve">, “The role of energy storage in the uptake of renewable energy: A model comparison approach,” </w:t>
      </w:r>
      <w:r w:rsidRPr="008F4CEA">
        <w:rPr>
          <w:rFonts w:ascii="Calibri" w:hAnsi="Calibri" w:cs="Calibri"/>
          <w:i/>
          <w:iCs/>
          <w:noProof/>
        </w:rPr>
        <w:t>Energy Policy</w:t>
      </w:r>
      <w:r w:rsidRPr="008F4CEA">
        <w:rPr>
          <w:rFonts w:ascii="Calibri" w:hAnsi="Calibri" w:cs="Calibri"/>
          <w:noProof/>
        </w:rPr>
        <w:t>, vol. 151, no. February, p. 112159, 2021, doi: 10.1016/j.enpol.2021.112159.</w:t>
      </w:r>
    </w:p>
    <w:p w14:paraId="19A8DF2A" w14:textId="77777777" w:rsidR="008F4CEA" w:rsidRPr="008F4CEA" w:rsidRDefault="008F4CEA" w:rsidP="008F4CEA">
      <w:pPr>
        <w:widowControl w:val="0"/>
        <w:autoSpaceDE w:val="0"/>
        <w:autoSpaceDN w:val="0"/>
        <w:adjustRightInd w:val="0"/>
        <w:ind w:left="640" w:hanging="640"/>
        <w:rPr>
          <w:rFonts w:ascii="Calibri" w:hAnsi="Calibri" w:cs="Calibri"/>
          <w:noProof/>
        </w:rPr>
      </w:pPr>
      <w:r w:rsidRPr="008F4CEA">
        <w:rPr>
          <w:rFonts w:ascii="Calibri" w:hAnsi="Calibri" w:cs="Calibri"/>
          <w:noProof/>
        </w:rPr>
        <w:t>[6]</w:t>
      </w:r>
      <w:r w:rsidRPr="008F4CEA">
        <w:rPr>
          <w:rFonts w:ascii="Calibri" w:hAnsi="Calibri" w:cs="Calibri"/>
          <w:noProof/>
        </w:rPr>
        <w:tab/>
        <w:t xml:space="preserve">J. Sachs, Y. Meng, S. Giarola, and A. Hawkes, “An agent-based model for energy investment decisions in the residential sector,” </w:t>
      </w:r>
      <w:r w:rsidRPr="008F4CEA">
        <w:rPr>
          <w:rFonts w:ascii="Calibri" w:hAnsi="Calibri" w:cs="Calibri"/>
          <w:i/>
          <w:iCs/>
          <w:noProof/>
        </w:rPr>
        <w:t>Energy</w:t>
      </w:r>
      <w:r w:rsidRPr="008F4CEA">
        <w:rPr>
          <w:rFonts w:ascii="Calibri" w:hAnsi="Calibri" w:cs="Calibri"/>
          <w:noProof/>
        </w:rPr>
        <w:t>, vol. 172, pp. 752–768, 2019, doi: 10.1016/j.energy.2019.01.161.</w:t>
      </w:r>
    </w:p>
    <w:p w14:paraId="7E85FF8F" w14:textId="77777777" w:rsidR="008F4CEA" w:rsidRPr="008F4CEA" w:rsidRDefault="008F4CEA" w:rsidP="008F4CEA">
      <w:pPr>
        <w:widowControl w:val="0"/>
        <w:autoSpaceDE w:val="0"/>
        <w:autoSpaceDN w:val="0"/>
        <w:adjustRightInd w:val="0"/>
        <w:ind w:left="640" w:hanging="640"/>
        <w:rPr>
          <w:rFonts w:ascii="Calibri" w:hAnsi="Calibri" w:cs="Calibri"/>
          <w:noProof/>
        </w:rPr>
      </w:pPr>
      <w:r w:rsidRPr="008F4CEA">
        <w:rPr>
          <w:rFonts w:ascii="Calibri" w:hAnsi="Calibri" w:cs="Calibri"/>
          <w:noProof/>
        </w:rPr>
        <w:t>[7]</w:t>
      </w:r>
      <w:r w:rsidRPr="008F4CEA">
        <w:rPr>
          <w:rFonts w:ascii="Calibri" w:hAnsi="Calibri" w:cs="Calibri"/>
          <w:noProof/>
        </w:rPr>
        <w:tab/>
        <w:t xml:space="preserve">M. Howells </w:t>
      </w:r>
      <w:r w:rsidRPr="008F4CEA">
        <w:rPr>
          <w:rFonts w:ascii="Calibri" w:hAnsi="Calibri" w:cs="Calibri"/>
          <w:i/>
          <w:iCs/>
          <w:noProof/>
        </w:rPr>
        <w:t>et al.</w:t>
      </w:r>
      <w:r w:rsidRPr="008F4CEA">
        <w:rPr>
          <w:rFonts w:ascii="Calibri" w:hAnsi="Calibri" w:cs="Calibri"/>
          <w:noProof/>
        </w:rPr>
        <w:t xml:space="preserve">, “OSeMOSYS: The Open Source Energy Modeling System. An introduction to its ethos, structure and development.,” </w:t>
      </w:r>
      <w:r w:rsidRPr="008F4CEA">
        <w:rPr>
          <w:rFonts w:ascii="Calibri" w:hAnsi="Calibri" w:cs="Calibri"/>
          <w:i/>
          <w:iCs/>
          <w:noProof/>
        </w:rPr>
        <w:t>Energy Policy</w:t>
      </w:r>
      <w:r w:rsidRPr="008F4CEA">
        <w:rPr>
          <w:rFonts w:ascii="Calibri" w:hAnsi="Calibri" w:cs="Calibri"/>
          <w:noProof/>
        </w:rPr>
        <w:t>, vol. 39, no. 10, pp. 5850–5870, Oct. 2011, doi: 10.1016/j.enpol.2011.06.033.</w:t>
      </w:r>
    </w:p>
    <w:p w14:paraId="75A9FEB7" w14:textId="77777777" w:rsidR="008F4CEA" w:rsidRPr="008F4CEA" w:rsidRDefault="008F4CEA" w:rsidP="008F4CEA">
      <w:pPr>
        <w:widowControl w:val="0"/>
        <w:autoSpaceDE w:val="0"/>
        <w:autoSpaceDN w:val="0"/>
        <w:adjustRightInd w:val="0"/>
        <w:ind w:left="640" w:hanging="640"/>
        <w:rPr>
          <w:rFonts w:ascii="Calibri" w:hAnsi="Calibri" w:cs="Calibri"/>
          <w:noProof/>
        </w:rPr>
      </w:pPr>
      <w:r w:rsidRPr="008F4CEA">
        <w:rPr>
          <w:rFonts w:ascii="Calibri" w:hAnsi="Calibri" w:cs="Calibri"/>
          <w:noProof/>
        </w:rPr>
        <w:t>[8]</w:t>
      </w:r>
      <w:r w:rsidRPr="008F4CEA">
        <w:rPr>
          <w:rFonts w:ascii="Calibri" w:hAnsi="Calibri" w:cs="Calibri"/>
          <w:noProof/>
        </w:rPr>
        <w:tab/>
        <w:t xml:space="preserve">W. Peng </w:t>
      </w:r>
      <w:r w:rsidRPr="008F4CEA">
        <w:rPr>
          <w:rFonts w:ascii="Calibri" w:hAnsi="Calibri" w:cs="Calibri"/>
          <w:i/>
          <w:iCs/>
          <w:noProof/>
        </w:rPr>
        <w:t>et al.</w:t>
      </w:r>
      <w:r w:rsidRPr="008F4CEA">
        <w:rPr>
          <w:rFonts w:ascii="Calibri" w:hAnsi="Calibri" w:cs="Calibri"/>
          <w:noProof/>
        </w:rPr>
        <w:t xml:space="preserve">, “Climate policy models need to get real about people - here’s how,” </w:t>
      </w:r>
      <w:r w:rsidRPr="008F4CEA">
        <w:rPr>
          <w:rFonts w:ascii="Calibri" w:hAnsi="Calibri" w:cs="Calibri"/>
          <w:i/>
          <w:iCs/>
          <w:noProof/>
        </w:rPr>
        <w:t>Nature</w:t>
      </w:r>
      <w:r w:rsidRPr="008F4CEA">
        <w:rPr>
          <w:rFonts w:ascii="Calibri" w:hAnsi="Calibri" w:cs="Calibri"/>
          <w:noProof/>
        </w:rPr>
        <w:t>, vol. 594, no. 7862, pp. 174–176, 2021, doi: 10.1038/d41586-021-01500-2.</w:t>
      </w:r>
    </w:p>
    <w:p w14:paraId="6FF9EEA0" w14:textId="159DB6BB" w:rsidR="006957CB" w:rsidRPr="006957CB" w:rsidRDefault="006957CB" w:rsidP="008F4CEA">
      <w:pPr>
        <w:widowControl w:val="0"/>
        <w:autoSpaceDE w:val="0"/>
        <w:autoSpaceDN w:val="0"/>
        <w:adjustRightInd w:val="0"/>
        <w:ind w:left="640" w:hanging="640"/>
      </w:pPr>
      <w:r>
        <w:fldChar w:fldCharType="end"/>
      </w:r>
    </w:p>
    <w:sectPr w:rsidR="006957CB" w:rsidRPr="0069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E1"/>
    <w:rsid w:val="00024291"/>
    <w:rsid w:val="000605C4"/>
    <w:rsid w:val="001D5BB6"/>
    <w:rsid w:val="001E58B9"/>
    <w:rsid w:val="00206B07"/>
    <w:rsid w:val="00215875"/>
    <w:rsid w:val="00282882"/>
    <w:rsid w:val="002B41F0"/>
    <w:rsid w:val="00335F90"/>
    <w:rsid w:val="0034185B"/>
    <w:rsid w:val="004744C1"/>
    <w:rsid w:val="0055715B"/>
    <w:rsid w:val="00644326"/>
    <w:rsid w:val="00663EA1"/>
    <w:rsid w:val="006957CB"/>
    <w:rsid w:val="006E222A"/>
    <w:rsid w:val="00802B70"/>
    <w:rsid w:val="008B0AA2"/>
    <w:rsid w:val="008F2CD4"/>
    <w:rsid w:val="008F4CEA"/>
    <w:rsid w:val="009426A6"/>
    <w:rsid w:val="00985C7F"/>
    <w:rsid w:val="009A59B9"/>
    <w:rsid w:val="009B16E0"/>
    <w:rsid w:val="009D2642"/>
    <w:rsid w:val="00A30EC9"/>
    <w:rsid w:val="00AF1490"/>
    <w:rsid w:val="00B2573C"/>
    <w:rsid w:val="00B608FB"/>
    <w:rsid w:val="00BB431D"/>
    <w:rsid w:val="00BF26D3"/>
    <w:rsid w:val="00C65AE1"/>
    <w:rsid w:val="00CD34AE"/>
    <w:rsid w:val="00CE5C73"/>
    <w:rsid w:val="00D56C2F"/>
    <w:rsid w:val="00D61EE0"/>
    <w:rsid w:val="00D9113D"/>
    <w:rsid w:val="00DD4314"/>
    <w:rsid w:val="00E21E52"/>
    <w:rsid w:val="00E30F15"/>
    <w:rsid w:val="00EC4330"/>
    <w:rsid w:val="00F40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4BCD"/>
  <w15:chartTrackingRefBased/>
  <w15:docId w15:val="{2A4ABA2D-6301-404A-B7BA-E164FD4B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A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A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A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A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A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0AA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E222A"/>
    <w:pPr>
      <w:spacing w:after="200"/>
    </w:pPr>
    <w:rPr>
      <w:i/>
      <w:iCs/>
      <w:color w:val="44546A" w:themeColor="text2"/>
      <w:sz w:val="18"/>
      <w:szCs w:val="18"/>
    </w:rPr>
  </w:style>
  <w:style w:type="paragraph" w:styleId="NormalWeb">
    <w:name w:val="Normal (Web)"/>
    <w:basedOn w:val="Normal"/>
    <w:uiPriority w:val="99"/>
    <w:semiHidden/>
    <w:unhideWhenUsed/>
    <w:rsid w:val="00D56C2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652219">
      <w:bodyDiv w:val="1"/>
      <w:marLeft w:val="0"/>
      <w:marRight w:val="0"/>
      <w:marTop w:val="0"/>
      <w:marBottom w:val="0"/>
      <w:divBdr>
        <w:top w:val="none" w:sz="0" w:space="0" w:color="auto"/>
        <w:left w:val="none" w:sz="0" w:space="0" w:color="auto"/>
        <w:bottom w:val="none" w:sz="0" w:space="0" w:color="auto"/>
        <w:right w:val="none" w:sz="0" w:space="0" w:color="auto"/>
      </w:divBdr>
    </w:div>
    <w:div w:id="537397545">
      <w:bodyDiv w:val="1"/>
      <w:marLeft w:val="0"/>
      <w:marRight w:val="0"/>
      <w:marTop w:val="0"/>
      <w:marBottom w:val="0"/>
      <w:divBdr>
        <w:top w:val="none" w:sz="0" w:space="0" w:color="auto"/>
        <w:left w:val="none" w:sz="0" w:space="0" w:color="auto"/>
        <w:bottom w:val="none" w:sz="0" w:space="0" w:color="auto"/>
        <w:right w:val="none" w:sz="0" w:space="0" w:color="auto"/>
      </w:divBdr>
    </w:div>
    <w:div w:id="988826161">
      <w:bodyDiv w:val="1"/>
      <w:marLeft w:val="0"/>
      <w:marRight w:val="0"/>
      <w:marTop w:val="0"/>
      <w:marBottom w:val="0"/>
      <w:divBdr>
        <w:top w:val="none" w:sz="0" w:space="0" w:color="auto"/>
        <w:left w:val="none" w:sz="0" w:space="0" w:color="auto"/>
        <w:bottom w:val="none" w:sz="0" w:space="0" w:color="auto"/>
        <w:right w:val="none" w:sz="0" w:space="0" w:color="auto"/>
      </w:divBdr>
    </w:div>
    <w:div w:id="1178695291">
      <w:bodyDiv w:val="1"/>
      <w:marLeft w:val="0"/>
      <w:marRight w:val="0"/>
      <w:marTop w:val="0"/>
      <w:marBottom w:val="0"/>
      <w:divBdr>
        <w:top w:val="none" w:sz="0" w:space="0" w:color="auto"/>
        <w:left w:val="none" w:sz="0" w:space="0" w:color="auto"/>
        <w:bottom w:val="none" w:sz="0" w:space="0" w:color="auto"/>
        <w:right w:val="none" w:sz="0" w:space="0" w:color="auto"/>
      </w:divBdr>
    </w:div>
    <w:div w:id="1354721769">
      <w:bodyDiv w:val="1"/>
      <w:marLeft w:val="0"/>
      <w:marRight w:val="0"/>
      <w:marTop w:val="0"/>
      <w:marBottom w:val="0"/>
      <w:divBdr>
        <w:top w:val="none" w:sz="0" w:space="0" w:color="auto"/>
        <w:left w:val="none" w:sz="0" w:space="0" w:color="auto"/>
        <w:bottom w:val="none" w:sz="0" w:space="0" w:color="auto"/>
        <w:right w:val="none" w:sz="0" w:space="0" w:color="auto"/>
      </w:divBdr>
      <w:divsChild>
        <w:div w:id="539821242">
          <w:marLeft w:val="0"/>
          <w:marRight w:val="0"/>
          <w:marTop w:val="0"/>
          <w:marBottom w:val="0"/>
          <w:divBdr>
            <w:top w:val="none" w:sz="0" w:space="0" w:color="auto"/>
            <w:left w:val="none" w:sz="0" w:space="0" w:color="auto"/>
            <w:bottom w:val="none" w:sz="0" w:space="0" w:color="auto"/>
            <w:right w:val="none" w:sz="0" w:space="0" w:color="auto"/>
          </w:divBdr>
          <w:divsChild>
            <w:div w:id="1241060541">
              <w:marLeft w:val="0"/>
              <w:marRight w:val="0"/>
              <w:marTop w:val="0"/>
              <w:marBottom w:val="0"/>
              <w:divBdr>
                <w:top w:val="none" w:sz="0" w:space="0" w:color="auto"/>
                <w:left w:val="none" w:sz="0" w:space="0" w:color="auto"/>
                <w:bottom w:val="none" w:sz="0" w:space="0" w:color="auto"/>
                <w:right w:val="none" w:sz="0" w:space="0" w:color="auto"/>
              </w:divBdr>
              <w:divsChild>
                <w:div w:id="1958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190">
      <w:bodyDiv w:val="1"/>
      <w:marLeft w:val="0"/>
      <w:marRight w:val="0"/>
      <w:marTop w:val="0"/>
      <w:marBottom w:val="0"/>
      <w:divBdr>
        <w:top w:val="none" w:sz="0" w:space="0" w:color="auto"/>
        <w:left w:val="none" w:sz="0" w:space="0" w:color="auto"/>
        <w:bottom w:val="none" w:sz="0" w:space="0" w:color="auto"/>
        <w:right w:val="none" w:sz="0" w:space="0" w:color="auto"/>
      </w:divBdr>
      <w:divsChild>
        <w:div w:id="519129035">
          <w:marLeft w:val="0"/>
          <w:marRight w:val="0"/>
          <w:marTop w:val="0"/>
          <w:marBottom w:val="0"/>
          <w:divBdr>
            <w:top w:val="none" w:sz="0" w:space="0" w:color="auto"/>
            <w:left w:val="none" w:sz="0" w:space="0" w:color="auto"/>
            <w:bottom w:val="none" w:sz="0" w:space="0" w:color="auto"/>
            <w:right w:val="none" w:sz="0" w:space="0" w:color="auto"/>
          </w:divBdr>
          <w:divsChild>
            <w:div w:id="169177230">
              <w:marLeft w:val="0"/>
              <w:marRight w:val="0"/>
              <w:marTop w:val="0"/>
              <w:marBottom w:val="0"/>
              <w:divBdr>
                <w:top w:val="none" w:sz="0" w:space="0" w:color="auto"/>
                <w:left w:val="none" w:sz="0" w:space="0" w:color="auto"/>
                <w:bottom w:val="none" w:sz="0" w:space="0" w:color="auto"/>
                <w:right w:val="none" w:sz="0" w:space="0" w:color="auto"/>
              </w:divBdr>
              <w:divsChild>
                <w:div w:id="7655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3465">
      <w:bodyDiv w:val="1"/>
      <w:marLeft w:val="0"/>
      <w:marRight w:val="0"/>
      <w:marTop w:val="0"/>
      <w:marBottom w:val="0"/>
      <w:divBdr>
        <w:top w:val="none" w:sz="0" w:space="0" w:color="auto"/>
        <w:left w:val="none" w:sz="0" w:space="0" w:color="auto"/>
        <w:bottom w:val="none" w:sz="0" w:space="0" w:color="auto"/>
        <w:right w:val="none" w:sz="0" w:space="0" w:color="auto"/>
      </w:divBdr>
    </w:div>
    <w:div w:id="1766026339">
      <w:bodyDiv w:val="1"/>
      <w:marLeft w:val="0"/>
      <w:marRight w:val="0"/>
      <w:marTop w:val="0"/>
      <w:marBottom w:val="0"/>
      <w:divBdr>
        <w:top w:val="none" w:sz="0" w:space="0" w:color="auto"/>
        <w:left w:val="none" w:sz="0" w:space="0" w:color="auto"/>
        <w:bottom w:val="none" w:sz="0" w:space="0" w:color="auto"/>
        <w:right w:val="none" w:sz="0" w:space="0" w:color="auto"/>
      </w:divBdr>
      <w:divsChild>
        <w:div w:id="1709602130">
          <w:marLeft w:val="0"/>
          <w:marRight w:val="0"/>
          <w:marTop w:val="0"/>
          <w:marBottom w:val="0"/>
          <w:divBdr>
            <w:top w:val="none" w:sz="0" w:space="0" w:color="auto"/>
            <w:left w:val="none" w:sz="0" w:space="0" w:color="auto"/>
            <w:bottom w:val="none" w:sz="0" w:space="0" w:color="auto"/>
            <w:right w:val="none" w:sz="0" w:space="0" w:color="auto"/>
          </w:divBdr>
          <w:divsChild>
            <w:div w:id="1838154004">
              <w:marLeft w:val="0"/>
              <w:marRight w:val="0"/>
              <w:marTop w:val="0"/>
              <w:marBottom w:val="0"/>
              <w:divBdr>
                <w:top w:val="none" w:sz="0" w:space="0" w:color="auto"/>
                <w:left w:val="none" w:sz="0" w:space="0" w:color="auto"/>
                <w:bottom w:val="none" w:sz="0" w:space="0" w:color="auto"/>
                <w:right w:val="none" w:sz="0" w:space="0" w:color="auto"/>
              </w:divBdr>
              <w:divsChild>
                <w:div w:id="18484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5895CB-EB04-634F-AA77-B877E9349BBF}">
  <we:reference id="wa104382081" version="1.21.0.0" store="en-001" storeType="OMEX"/>
  <we:alternateReferences>
    <we:reference id="WA104382081" version="1.21.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IEA19</b:Tag>
    <b:SourceType>InternetSite</b:SourceType>
    <b:Guid>{397B0F08-B857-7B44-9165-E8DE0EAF4338}</b:Guid>
    <b:Author>
      <b:Author>
        <b:NameList>
          <b:Person>
            <b:Last>IEA</b:Last>
          </b:Person>
        </b:NameList>
      </b:Author>
    </b:Author>
    <b:Title>Kenya Energy Outlook</b:Title>
    <b:City>Paris</b:City>
    <b:Year>2019</b:Year>
    <b:URL>https://www.iea.org/articles/kenya-energy-outlook</b:URL>
    <b:RefOrder>1</b:RefOrder>
  </b:Source>
</b:Sources>
</file>

<file path=customXml/itemProps1.xml><?xml version="1.0" encoding="utf-8"?>
<ds:datastoreItem xmlns:ds="http://schemas.openxmlformats.org/officeDocument/2006/customXml" ds:itemID="{E97302D9-796D-A44D-8DA3-A109D594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 Alexander J M</dc:creator>
  <cp:keywords/>
  <dc:description/>
  <cp:lastModifiedBy>Kell, Alexander J M</cp:lastModifiedBy>
  <cp:revision>31</cp:revision>
  <dcterms:created xsi:type="dcterms:W3CDTF">2021-07-01T10:23:00Z</dcterms:created>
  <dcterms:modified xsi:type="dcterms:W3CDTF">2021-07-02T09:19:00Z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4d0d792b-39d4-3554-9b04-98eee999d96e</vt:lpwstr>
  </property>
</Properties>
</file>