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36"/>
          <w:szCs w:val="36"/>
          <w:rtl w:val="0"/>
        </w:rPr>
        <w:t xml:space="preserve">Goa Road Accident Black Spots</w:t>
      </w:r>
      <w:r w:rsidDel="00000000" w:rsidR="00000000" w:rsidRPr="00000000">
        <w:rPr>
          <w:rFonts w:ascii="Google Sans" w:cs="Google Sans" w:eastAsia="Google Sans" w:hAnsi="Google Sans"/>
          <w:sz w:val="36"/>
          <w:szCs w:val="36"/>
          <w:rtl w:val="0"/>
        </w:rPr>
        <w:t xml:space="preserve"> </w:t>
      </w:r>
      <w:r w:rsidDel="00000000" w:rsidR="00000000" w:rsidRPr="00000000">
        <w:rPr>
          <w:rFonts w:ascii="Google Sans" w:cs="Google Sans" w:eastAsia="Google Sans" w:hAnsi="Google Sans"/>
          <w:b w:val="1"/>
          <w:bCs w:val="1"/>
          <w:sz w:val="36"/>
          <w:szCs w:val="36"/>
          <w:rtl w:val="0"/>
        </w:rPr>
        <w:t xml:space="preserve">and Accident Prone Zones_2023</w:t>
      </w:r>
    </w:p>
    <w:p w:rsidR="00000000" w:rsidDel="00000000" w:rsidP="00000000" w:rsidRDefault="00000000" w:rsidRPr="00000000" w14:paraId="00000002">
      <w:pPr>
        <w:spacing w:after="240" w:before="24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Maintained by:</w:t>
      </w:r>
      <w:r w:rsidDel="00000000" w:rsidR="00000000" w:rsidRPr="00000000">
        <w:rPr>
          <w:rFonts w:ascii="Google Sans" w:cs="Google Sans" w:eastAsia="Google Sans" w:hAnsi="Google Sans"/>
          <w:sz w:val="22"/>
          <w:szCs w:val="22"/>
          <w:rtl w:val="0"/>
        </w:rPr>
        <w:t xml:space="preserve"> Climate Dot</w:t>
        <w:br w:type="textWrapping"/>
      </w:r>
      <w:r w:rsidDel="00000000" w:rsidR="00000000" w:rsidRPr="00000000">
        <w:rPr>
          <w:rFonts w:ascii="Google Sans" w:cs="Google Sans" w:eastAsia="Google Sans" w:hAnsi="Google Sans"/>
          <w:b w:val="1"/>
          <w:bCs w:val="1"/>
          <w:sz w:val="22"/>
          <w:szCs w:val="22"/>
          <w:rtl w:val="0"/>
        </w:rPr>
        <w:t xml:space="preserve">Last updated:</w:t>
      </w:r>
      <w:r w:rsidDel="00000000" w:rsidR="00000000" w:rsidRPr="00000000">
        <w:rPr>
          <w:rFonts w:ascii="Google Sans" w:cs="Google Sans" w:eastAsia="Google Sans" w:hAnsi="Google Sans"/>
          <w:sz w:val="22"/>
          <w:szCs w:val="22"/>
          <w:rtl w:val="0"/>
        </w:rPr>
        <w:t xml:space="preserve"> June 2026</w:t>
      </w:r>
      <w:r w:rsidDel="00000000" w:rsidR="00000000" w:rsidRPr="00000000">
        <w:rPr>
          <w:rtl w:val="0"/>
        </w:rPr>
      </w:r>
    </w:p>
    <w:p w:rsidR="00000000" w:rsidDel="00000000" w:rsidP="00000000" w:rsidRDefault="00000000" w:rsidRPr="00000000" w14:paraId="00000003">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1. Overview</w:t>
      </w:r>
      <w:r w:rsidDel="00000000" w:rsidR="00000000" w:rsidRPr="00000000">
        <w:rPr>
          <w:rtl w:val="0"/>
        </w:rPr>
      </w:r>
    </w:p>
    <w:p w:rsidR="00000000" w:rsidDel="00000000" w:rsidP="00000000" w:rsidRDefault="00000000" w:rsidRPr="00000000" w14:paraId="00000004">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This dataset contains the spatial locations and accident statistics for all 62 officially designated accident spots in Goa, as recorded by the Goa Traffic Police in 2023. It includes 35 Black Spots and 27 Accident Prone Zones across the North and South districts of Goa, covering a three-year period from 2021 to 2023.</w:t>
      </w:r>
    </w:p>
    <w:p w:rsidR="00000000" w:rsidDel="00000000" w:rsidP="00000000" w:rsidRDefault="00000000" w:rsidRPr="00000000" w14:paraId="00000005">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The data has been georeferenced and converted into a GIS-ready format, with each location represented as a point as mentioned. </w:t>
      </w:r>
    </w:p>
    <w:p w:rsidR="00000000" w:rsidDel="00000000" w:rsidP="00000000" w:rsidRDefault="00000000" w:rsidRPr="00000000" w14:paraId="00000006">
      <w:pPr>
        <w:pStyle w:val="Heading1"/>
        <w:spacing w:after="120" w:before="36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4"/>
          <w:szCs w:val="24"/>
          <w:rtl w:val="0"/>
        </w:rPr>
        <w:t xml:space="preserve">2. Data Sources</w:t>
      </w:r>
      <w:r w:rsidDel="00000000" w:rsidR="00000000" w:rsidRPr="00000000">
        <w:rPr>
          <w:rtl w:val="0"/>
        </w:rPr>
      </w:r>
    </w:p>
    <w:p w:rsidR="00000000" w:rsidDel="00000000" w:rsidP="00000000" w:rsidRDefault="00000000" w:rsidRPr="00000000" w14:paraId="00000007">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Goa Traffic Police, Traffic Cell Records, total 62 Accident Spots Including 27 Accident Prone Zones and 35 Black Spots in Goa, 2023.</w:t>
      </w:r>
    </w:p>
    <w:p w:rsidR="00000000" w:rsidDel="00000000" w:rsidP="00000000" w:rsidRDefault="00000000" w:rsidRPr="00000000" w14:paraId="00000008">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3. File Description</w:t>
      </w:r>
      <w:r w:rsidDel="00000000" w:rsidR="00000000" w:rsidRPr="00000000">
        <w:rPr>
          <w:rtl w:val="0"/>
        </w:rPr>
      </w:r>
    </w:p>
    <w:p w:rsidR="00000000" w:rsidDel="00000000" w:rsidP="00000000" w:rsidRDefault="00000000" w:rsidRPr="00000000" w14:paraId="00000009">
      <w:pPr>
        <w:pStyle w:val="Heading2"/>
        <w:spacing w:after="80" w:before="28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goa_accident_blackspots.geojson</w:t>
      </w:r>
      <w:r w:rsidDel="00000000" w:rsidR="00000000" w:rsidRPr="00000000">
        <w:rPr>
          <w:rtl w:val="0"/>
        </w:rPr>
      </w:r>
    </w:p>
    <w:p w:rsidR="00000000" w:rsidDel="00000000" w:rsidP="00000000" w:rsidRDefault="00000000" w:rsidRPr="00000000" w14:paraId="0000000A">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 GeoJSON containing 62 point features, one per designated accident spot. Each point is either the start point or the end point as mentioned in the police report.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Coordinate Reference System: EPSG:4326 (WGS 84)</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Geometry type: </w:t>
      </w:r>
      <w:r w:rsidDel="00000000" w:rsidR="00000000" w:rsidRPr="00000000">
        <w:rPr>
          <w:rFonts w:ascii="Google Sans" w:cs="Google Sans" w:eastAsia="Google Sans" w:hAnsi="Google Sans"/>
          <w:sz w:val="22"/>
          <w:szCs w:val="22"/>
          <w:rtl w:val="0"/>
        </w:rPr>
        <w:t xml:space="preserve">Point (PointZ)</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Feature count: 62</w:t>
      </w:r>
    </w:p>
    <w:p w:rsidR="00000000" w:rsidDel="00000000" w:rsidP="00000000" w:rsidRDefault="00000000" w:rsidRPr="00000000" w14:paraId="0000000E">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4. Attribute Fields</w:t>
      </w:r>
      <w:r w:rsidDel="00000000" w:rsidR="00000000" w:rsidRPr="00000000">
        <w:rPr>
          <w:rtl w:val="0"/>
        </w:rPr>
      </w:r>
    </w:p>
    <w:p w:rsidR="00000000" w:rsidDel="00000000" w:rsidP="00000000" w:rsidRDefault="00000000" w:rsidRPr="00000000" w14:paraId="0000000F">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The following fields are available for each feature in the GeoJSON file:</w:t>
      </w:r>
    </w:p>
    <w:p w:rsidR="00000000" w:rsidDel="00000000" w:rsidP="00000000" w:rsidRDefault="00000000" w:rsidRPr="00000000" w14:paraId="00000010">
      <w:pPr>
        <w:spacing w:after="40" w:before="40" w:line="276" w:lineRule="auto"/>
        <w:rPr>
          <w:rFonts w:ascii="Google Sans" w:cs="Google Sans" w:eastAsia="Google Sans" w:hAnsi="Google Sans"/>
          <w:sz w:val="22"/>
          <w:szCs w:val="22"/>
        </w:rPr>
      </w:pP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5"/>
        <w:gridCol w:w="6600"/>
        <w:tblGridChange w:id="0">
          <w:tblGrid>
            <w:gridCol w:w="1800"/>
            <w:gridCol w:w="1005"/>
            <w:gridCol w:w="6600"/>
          </w:tblGrid>
        </w:tblGridChange>
      </w:tblGrid>
      <w:tr>
        <w:trPr>
          <w:cantSplit w:val="0"/>
          <w:tblHeader w:val="1"/>
        </w:trPr>
        <w:tc>
          <w:tcPr/>
          <w:p w:rsidR="00000000" w:rsidDel="00000000" w:rsidP="00000000" w:rsidRDefault="00000000" w:rsidRPr="00000000" w14:paraId="00000011">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Field</w:t>
            </w:r>
            <w:r w:rsidDel="00000000" w:rsidR="00000000" w:rsidRPr="00000000">
              <w:rPr>
                <w:rtl w:val="0"/>
              </w:rPr>
            </w:r>
          </w:p>
        </w:tc>
        <w:tc>
          <w:tcPr/>
          <w:p w:rsidR="00000000" w:rsidDel="00000000" w:rsidP="00000000" w:rsidRDefault="00000000" w:rsidRPr="00000000" w14:paraId="00000012">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0013">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fid</w:t>
            </w:r>
          </w:p>
        </w:tc>
        <w:tc>
          <w:tcPr/>
          <w:p w:rsidR="00000000" w:rsidDel="00000000" w:rsidP="00000000" w:rsidRDefault="00000000" w:rsidRPr="00000000" w14:paraId="00000015">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16">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Sequential identifier (1–62)</w:t>
            </w:r>
          </w:p>
        </w:tc>
      </w:tr>
      <w:tr>
        <w:trPr>
          <w:cantSplit w:val="0"/>
          <w:tblHeader w:val="0"/>
        </w:trPr>
        <w:tc>
          <w:tcPr/>
          <w:p w:rsidR="00000000" w:rsidDel="00000000" w:rsidP="00000000" w:rsidRDefault="00000000" w:rsidRPr="00000000" w14:paraId="00000017">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district</w:t>
            </w:r>
          </w:p>
        </w:tc>
        <w:tc>
          <w:tcPr/>
          <w:p w:rsidR="00000000" w:rsidDel="00000000" w:rsidP="00000000" w:rsidRDefault="00000000" w:rsidRPr="00000000" w14:paraId="00000018">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19">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North or South Goa district</w:t>
            </w:r>
          </w:p>
        </w:tc>
      </w:tr>
      <w:tr>
        <w:trPr>
          <w:cantSplit w:val="0"/>
          <w:tblHeader w:val="0"/>
        </w:trPr>
        <w:tc>
          <w:tcPr/>
          <w:p w:rsidR="00000000" w:rsidDel="00000000" w:rsidP="00000000" w:rsidRDefault="00000000" w:rsidRPr="00000000" w14:paraId="0000001A">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police_station</w:t>
            </w:r>
          </w:p>
        </w:tc>
        <w:tc>
          <w:tcPr/>
          <w:p w:rsidR="00000000" w:rsidDel="00000000" w:rsidP="00000000" w:rsidRDefault="00000000" w:rsidRPr="00000000" w14:paraId="0000001B">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1C">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Jurisdictional police station and traffic cell</w:t>
            </w:r>
          </w:p>
        </w:tc>
      </w:tr>
      <w:tr>
        <w:trPr>
          <w:cantSplit w:val="0"/>
          <w:tblHeader w:val="0"/>
        </w:trPr>
        <w:tc>
          <w:tcPr/>
          <w:p w:rsidR="00000000" w:rsidDel="00000000" w:rsidP="00000000" w:rsidRDefault="00000000" w:rsidRPr="00000000" w14:paraId="0000001D">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road_type</w:t>
            </w:r>
          </w:p>
        </w:tc>
        <w:tc>
          <w:tcPr/>
          <w:p w:rsidR="00000000" w:rsidDel="00000000" w:rsidP="00000000" w:rsidRDefault="00000000" w:rsidRPr="00000000" w14:paraId="0000001E">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1F">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Road classification - NH (National Highway), SH (State Highway), OR (Other Road)</w:t>
            </w:r>
          </w:p>
        </w:tc>
      </w:tr>
      <w:tr>
        <w:trPr>
          <w:cantSplit w:val="0"/>
          <w:tblHeader w:val="0"/>
        </w:trPr>
        <w:tc>
          <w:tcPr/>
          <w:p w:rsidR="00000000" w:rsidDel="00000000" w:rsidP="00000000" w:rsidRDefault="00000000" w:rsidRPr="00000000" w14:paraId="00000020">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road_ref</w:t>
            </w:r>
          </w:p>
        </w:tc>
        <w:tc>
          <w:tcPr/>
          <w:p w:rsidR="00000000" w:rsidDel="00000000" w:rsidP="00000000" w:rsidRDefault="00000000" w:rsidRPr="00000000" w14:paraId="00000021">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22">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Road reference number (e.g. 66, 748, 17B)</w:t>
            </w:r>
          </w:p>
        </w:tc>
      </w:tr>
      <w:tr>
        <w:trPr>
          <w:cantSplit w:val="0"/>
          <w:tblHeader w:val="0"/>
        </w:trPr>
        <w:tc>
          <w:tcPr/>
          <w:p w:rsidR="00000000" w:rsidDel="00000000" w:rsidP="00000000" w:rsidRDefault="00000000" w:rsidRPr="00000000" w14:paraId="00000023">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location_name</w:t>
            </w:r>
          </w:p>
        </w:tc>
        <w:tc>
          <w:tcPr/>
          <w:p w:rsidR="00000000" w:rsidDel="00000000" w:rsidP="00000000" w:rsidRDefault="00000000" w:rsidRPr="00000000" w14:paraId="00000024">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25">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Official name of the accident spot as per Traffic Police records</w:t>
            </w:r>
          </w:p>
        </w:tc>
      </w:tr>
      <w:tr>
        <w:trPr>
          <w:cantSplit w:val="0"/>
          <w:tblHeader w:val="0"/>
        </w:trPr>
        <w:tc>
          <w:tcPr/>
          <w:p w:rsidR="00000000" w:rsidDel="00000000" w:rsidP="00000000" w:rsidRDefault="00000000" w:rsidRPr="00000000" w14:paraId="00000026">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start_from</w:t>
            </w:r>
          </w:p>
        </w:tc>
        <w:tc>
          <w:tcPr/>
          <w:p w:rsidR="00000000" w:rsidDel="00000000" w:rsidP="00000000" w:rsidRDefault="00000000" w:rsidRPr="00000000" w14:paraId="00000027">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28">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Starting landmark of the designated 500m stretch</w:t>
            </w:r>
          </w:p>
        </w:tc>
      </w:tr>
      <w:tr>
        <w:trPr>
          <w:cantSplit w:val="0"/>
          <w:tblHeader w:val="0"/>
        </w:trPr>
        <w:tc>
          <w:tcPr/>
          <w:p w:rsidR="00000000" w:rsidDel="00000000" w:rsidP="00000000" w:rsidRDefault="00000000" w:rsidRPr="00000000" w14:paraId="00000029">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end_to</w:t>
            </w:r>
          </w:p>
        </w:tc>
        <w:tc>
          <w:tcPr/>
          <w:p w:rsidR="00000000" w:rsidDel="00000000" w:rsidP="00000000" w:rsidRDefault="00000000" w:rsidRPr="00000000" w14:paraId="0000002A">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2B">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Ending landmark of the designated 500m stretch</w:t>
            </w:r>
          </w:p>
        </w:tc>
      </w:tr>
      <w:tr>
        <w:trPr>
          <w:cantSplit w:val="0"/>
          <w:tblHeader w:val="0"/>
        </w:trPr>
        <w:tc>
          <w:tcPr/>
          <w:p w:rsidR="00000000" w:rsidDel="00000000" w:rsidP="00000000" w:rsidRDefault="00000000" w:rsidRPr="00000000" w14:paraId="0000002C">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spot_type</w:t>
            </w:r>
          </w:p>
        </w:tc>
        <w:tc>
          <w:tcPr/>
          <w:p w:rsidR="00000000" w:rsidDel="00000000" w:rsidP="00000000" w:rsidRDefault="00000000" w:rsidRPr="00000000" w14:paraId="0000002D">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String</w:t>
            </w:r>
          </w:p>
        </w:tc>
        <w:tc>
          <w:tcPr/>
          <w:p w:rsidR="00000000" w:rsidDel="00000000" w:rsidP="00000000" w:rsidRDefault="00000000" w:rsidRPr="00000000" w14:paraId="0000002E">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Classification - Black Spot or Accident Prone Zone</w:t>
            </w:r>
          </w:p>
        </w:tc>
      </w:tr>
      <w:tr>
        <w:trPr>
          <w:cantSplit w:val="0"/>
          <w:tblHeader w:val="0"/>
        </w:trPr>
        <w:tc>
          <w:tcPr/>
          <w:p w:rsidR="00000000" w:rsidDel="00000000" w:rsidP="00000000" w:rsidRDefault="00000000" w:rsidRPr="00000000" w14:paraId="0000002F">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total_accidents_3yr</w:t>
            </w:r>
          </w:p>
        </w:tc>
        <w:tc>
          <w:tcPr/>
          <w:p w:rsidR="00000000" w:rsidDel="00000000" w:rsidP="00000000" w:rsidRDefault="00000000" w:rsidRPr="00000000" w14:paraId="00000030">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31">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accidents 2021–2023 (3-year sum)</w:t>
            </w:r>
          </w:p>
        </w:tc>
      </w:tr>
      <w:tr>
        <w:trPr>
          <w:cantSplit w:val="0"/>
          <w:tblHeader w:val="0"/>
        </w:trPr>
        <w:tc>
          <w:tcPr/>
          <w:p w:rsidR="00000000" w:rsidDel="00000000" w:rsidP="00000000" w:rsidRDefault="00000000" w:rsidRPr="00000000" w14:paraId="00000032">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fatal_accidents_3yr</w:t>
            </w:r>
          </w:p>
        </w:tc>
        <w:tc>
          <w:tcPr/>
          <w:p w:rsidR="00000000" w:rsidDel="00000000" w:rsidP="00000000" w:rsidRDefault="00000000" w:rsidRPr="00000000" w14:paraId="00000033">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34">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fatal accidents 2021–2023</w:t>
            </w:r>
          </w:p>
        </w:tc>
      </w:tr>
      <w:tr>
        <w:trPr>
          <w:cantSplit w:val="0"/>
          <w:tblHeader w:val="0"/>
        </w:trPr>
        <w:tc>
          <w:tcPr/>
          <w:p w:rsidR="00000000" w:rsidDel="00000000" w:rsidP="00000000" w:rsidRDefault="00000000" w:rsidRPr="00000000" w14:paraId="00000035">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killed_3yr</w:t>
            </w:r>
          </w:p>
        </w:tc>
        <w:tc>
          <w:tcPr/>
          <w:p w:rsidR="00000000" w:rsidDel="00000000" w:rsidP="00000000" w:rsidRDefault="00000000" w:rsidRPr="00000000" w14:paraId="00000036">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37">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persons killed 2021–2023</w:t>
            </w:r>
          </w:p>
        </w:tc>
      </w:tr>
      <w:tr>
        <w:trPr>
          <w:cantSplit w:val="0"/>
          <w:tblHeader w:val="0"/>
        </w:trPr>
        <w:tc>
          <w:tcPr/>
          <w:p w:rsidR="00000000" w:rsidDel="00000000" w:rsidP="00000000" w:rsidRDefault="00000000" w:rsidRPr="00000000" w14:paraId="00000038">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grievous_accidents_3yr</w:t>
            </w:r>
          </w:p>
        </w:tc>
        <w:tc>
          <w:tcPr/>
          <w:p w:rsidR="00000000" w:rsidDel="00000000" w:rsidP="00000000" w:rsidRDefault="00000000" w:rsidRPr="00000000" w14:paraId="00000039">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3A">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accidents resulting in grievous injury 2021–2023</w:t>
            </w:r>
          </w:p>
        </w:tc>
      </w:tr>
      <w:tr>
        <w:trPr>
          <w:cantSplit w:val="0"/>
          <w:tblHeader w:val="0"/>
        </w:trPr>
        <w:tc>
          <w:tcPr/>
          <w:p w:rsidR="00000000" w:rsidDel="00000000" w:rsidP="00000000" w:rsidRDefault="00000000" w:rsidRPr="00000000" w14:paraId="0000003B">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grievous_injuries_3yr</w:t>
            </w:r>
          </w:p>
        </w:tc>
        <w:tc>
          <w:tcPr/>
          <w:p w:rsidR="00000000" w:rsidDel="00000000" w:rsidP="00000000" w:rsidRDefault="00000000" w:rsidRPr="00000000" w14:paraId="0000003C">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3D">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persons grievously injured 2021–2023</w:t>
            </w:r>
          </w:p>
        </w:tc>
      </w:tr>
      <w:tr>
        <w:trPr>
          <w:cantSplit w:val="0"/>
          <w:tblHeader w:val="0"/>
        </w:trPr>
        <w:tc>
          <w:tcPr/>
          <w:p w:rsidR="00000000" w:rsidDel="00000000" w:rsidP="00000000" w:rsidRDefault="00000000" w:rsidRPr="00000000" w14:paraId="0000003E">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slight_accidents_3yr</w:t>
            </w:r>
          </w:p>
        </w:tc>
        <w:tc>
          <w:tcPr/>
          <w:p w:rsidR="00000000" w:rsidDel="00000000" w:rsidP="00000000" w:rsidRDefault="00000000" w:rsidRPr="00000000" w14:paraId="0000003F">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40">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accidents resulting in slight injury 2021–2023</w:t>
            </w:r>
          </w:p>
        </w:tc>
      </w:tr>
      <w:tr>
        <w:trPr>
          <w:cantSplit w:val="0"/>
          <w:tblHeader w:val="0"/>
        </w:trPr>
        <w:tc>
          <w:tcPr/>
          <w:p w:rsidR="00000000" w:rsidDel="00000000" w:rsidP="00000000" w:rsidRDefault="00000000" w:rsidRPr="00000000" w14:paraId="00000041">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slight_injuries_3yr</w:t>
            </w:r>
          </w:p>
        </w:tc>
        <w:tc>
          <w:tcPr/>
          <w:p w:rsidR="00000000" w:rsidDel="00000000" w:rsidP="00000000" w:rsidRDefault="00000000" w:rsidRPr="00000000" w14:paraId="00000042">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43">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persons slightly injured 2021–2023</w:t>
            </w:r>
          </w:p>
        </w:tc>
      </w:tr>
      <w:tr>
        <w:trPr>
          <w:cantSplit w:val="0"/>
          <w:tblHeader w:val="0"/>
        </w:trPr>
        <w:tc>
          <w:tcPr/>
          <w:p w:rsidR="00000000" w:rsidDel="00000000" w:rsidP="00000000" w:rsidRDefault="00000000" w:rsidRPr="00000000" w14:paraId="00000044">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minor_accidents_3yr</w:t>
            </w:r>
          </w:p>
        </w:tc>
        <w:tc>
          <w:tcPr/>
          <w:p w:rsidR="00000000" w:rsidDel="00000000" w:rsidP="00000000" w:rsidRDefault="00000000" w:rsidRPr="00000000" w14:paraId="00000045">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Integer</w:t>
            </w:r>
          </w:p>
        </w:tc>
        <w:tc>
          <w:tcPr/>
          <w:p w:rsidR="00000000" w:rsidDel="00000000" w:rsidP="00000000" w:rsidRDefault="00000000" w:rsidRPr="00000000" w14:paraId="00000046">
            <w:pPr>
              <w:spacing w:line="276" w:lineRule="auto"/>
              <w:jc w:val="cente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Total minor accidents 2021–2023</w:t>
            </w:r>
          </w:p>
        </w:tc>
      </w:tr>
    </w:tbl>
    <w:p w:rsidR="00000000" w:rsidDel="00000000" w:rsidP="00000000" w:rsidRDefault="00000000" w:rsidRPr="00000000" w14:paraId="00000047">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5. Key Findings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62 spots are designated across Goa </w:t>
      </w:r>
      <w:r w:rsidDel="00000000" w:rsidR="00000000" w:rsidRPr="00000000">
        <w:rPr>
          <w:rFonts w:ascii="Google Sans" w:cs="Google Sans" w:eastAsia="Google Sans" w:hAnsi="Google Sans"/>
          <w:sz w:val="22"/>
          <w:szCs w:val="22"/>
          <w:rtl w:val="0"/>
        </w:rPr>
        <w:t xml:space="preserve">-</w:t>
      </w: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 31 in North District, 31 in South District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NH66 accounts for the largest share of high-severity spots, running the full length of Goa's western coastal corridor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Usgao Ponda (NH 748) records the highest fatality rate </w:t>
      </w:r>
      <w:r w:rsidDel="00000000" w:rsidR="00000000" w:rsidRPr="00000000">
        <w:rPr>
          <w:rFonts w:ascii="Google Sans" w:cs="Google Sans" w:eastAsia="Google Sans" w:hAnsi="Google Sans"/>
          <w:sz w:val="22"/>
          <w:szCs w:val="22"/>
          <w:rtl w:val="0"/>
        </w:rPr>
        <w:t xml:space="preserve">-</w:t>
      </w: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 7 killed from 23 total accidents (30.4%)</w:t>
      </w:r>
      <w:r w:rsidDel="00000000" w:rsidR="00000000" w:rsidRPr="00000000">
        <w:rPr>
          <w:rFonts w:ascii="Google Sans" w:cs="Google Sans" w:eastAsia="Google Sans" w:hAnsi="Google Sans"/>
          <w:sz w:val="22"/>
          <w:szCs w:val="22"/>
          <w:rtl w:val="0"/>
        </w:rPr>
        <w:t xml:space="preserve">.</w:t>
      </w:r>
      <w:r w:rsidDel="00000000" w:rsidR="00000000" w:rsidRPr="00000000">
        <w:rPr>
          <w:rtl w:val="0"/>
        </w:rPr>
      </w:r>
    </w:p>
    <w:p w:rsidR="00000000" w:rsidDel="00000000" w:rsidP="00000000" w:rsidRDefault="00000000" w:rsidRPr="00000000" w14:paraId="0000004B">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6. Limitations and Caveats</w:t>
      </w:r>
      <w:r w:rsidDel="00000000" w:rsidR="00000000" w:rsidRPr="00000000">
        <w:rPr>
          <w:rtl w:val="0"/>
        </w:rPr>
      </w:r>
    </w:p>
    <w:p w:rsidR="00000000" w:rsidDel="00000000" w:rsidP="00000000" w:rsidRDefault="00000000" w:rsidRPr="00000000" w14:paraId="0000004C">
      <w:pPr>
        <w:pStyle w:val="Heading2"/>
        <w:spacing w:after="80" w:before="28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Georeferencing Accuracy</w:t>
      </w:r>
      <w:r w:rsidDel="00000000" w:rsidR="00000000" w:rsidRPr="00000000">
        <w:rPr>
          <w:rtl w:val="0"/>
        </w:rPr>
      </w:r>
    </w:p>
    <w:p w:rsidR="00000000" w:rsidDel="00000000" w:rsidP="00000000" w:rsidRDefault="00000000" w:rsidRPr="00000000" w14:paraId="0000004D">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w:t>
      </w:r>
      <w:r w:rsidDel="00000000" w:rsidR="00000000" w:rsidRPr="00000000">
        <w:rPr>
          <w:rFonts w:ascii="Google Sans" w:cs="Google Sans" w:eastAsia="Google Sans" w:hAnsi="Google Sans"/>
          <w:sz w:val="22"/>
          <w:szCs w:val="22"/>
          <w:rtl w:val="0"/>
        </w:rPr>
        <w:t xml:space="preserve">oint coordinates for each spot were manually placed based on place name references in the source document. </w:t>
      </w:r>
    </w:p>
    <w:p w:rsidR="00000000" w:rsidDel="00000000" w:rsidP="00000000" w:rsidRDefault="00000000" w:rsidRPr="00000000" w14:paraId="0000004E">
      <w:pPr>
        <w:pStyle w:val="Heading2"/>
        <w:spacing w:after="80" w:before="28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Three-Year Aggregation</w:t>
      </w:r>
      <w:r w:rsidDel="00000000" w:rsidR="00000000" w:rsidRPr="00000000">
        <w:rPr>
          <w:rtl w:val="0"/>
        </w:rPr>
      </w:r>
    </w:p>
    <w:p w:rsidR="00000000" w:rsidDel="00000000" w:rsidP="00000000" w:rsidRDefault="00000000" w:rsidRPr="00000000" w14:paraId="0000004F">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Three-year data (2021–2023) is summed and not disaggregated by year in this file. </w:t>
      </w:r>
      <w:r w:rsidDel="00000000" w:rsidR="00000000" w:rsidRPr="00000000">
        <w:rPr>
          <w:rFonts w:ascii="Google Sans" w:cs="Google Sans" w:eastAsia="Google Sans" w:hAnsi="Google Sans"/>
          <w:sz w:val="22"/>
          <w:szCs w:val="22"/>
          <w:rtl w:val="0"/>
        </w:rPr>
        <w:t xml:space="preserve">The source document contains year-wise data; contact Climate Dot for the disaggregated version</w:t>
      </w:r>
      <w:r w:rsidDel="00000000" w:rsidR="00000000" w:rsidRPr="00000000">
        <w:rPr>
          <w:rtl w:val="0"/>
        </w:rPr>
      </w:r>
    </w:p>
    <w:p w:rsidR="00000000" w:rsidDel="00000000" w:rsidP="00000000" w:rsidRDefault="00000000" w:rsidRPr="00000000" w14:paraId="00000050">
      <w:pPr>
        <w:spacing w:after="100" w:before="6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Coverage</w:t>
      </w:r>
      <w:r w:rsidDel="00000000" w:rsidR="00000000" w:rsidRPr="00000000">
        <w:rPr>
          <w:rtl w:val="0"/>
        </w:rPr>
      </w:r>
    </w:p>
    <w:p w:rsidR="00000000" w:rsidDel="00000000" w:rsidP="00000000" w:rsidRDefault="00000000" w:rsidRPr="00000000" w14:paraId="00000051">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This dataset covers only officially designated spots. It does not represent all road accidents in Goa , only the 62 locations formally classified by the Traffic Police. Emerging hotspots not yet designated will not appear in this dataset.</w:t>
      </w:r>
    </w:p>
    <w:p w:rsidR="00000000" w:rsidDel="00000000" w:rsidP="00000000" w:rsidRDefault="00000000" w:rsidRPr="00000000" w14:paraId="00000052">
      <w:pPr>
        <w:pStyle w:val="Heading1"/>
        <w:spacing w:after="120" w:before="360" w:line="276" w:lineRule="auto"/>
        <w:rPr>
          <w:rFonts w:ascii="Google Sans" w:cs="Google Sans" w:eastAsia="Google Sans" w:hAnsi="Google Sans"/>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7. How to Use</w:t>
      </w:r>
      <w:r w:rsidDel="00000000" w:rsidR="00000000" w:rsidRPr="00000000">
        <w:rPr>
          <w:rtl w:val="0"/>
        </w:rPr>
      </w:r>
    </w:p>
    <w:p w:rsidR="00000000" w:rsidDel="00000000" w:rsidP="00000000" w:rsidRDefault="00000000" w:rsidRPr="00000000" w14:paraId="00000054">
      <w:pPr>
        <w:pStyle w:val="Heading2"/>
        <w:spacing w:after="80" w:before="280" w:line="276" w:lineRule="auto"/>
        <w:rPr>
          <w:rFonts w:ascii="Google Sans" w:cs="Google Sans" w:eastAsia="Google Sans" w:hAnsi="Google Sans"/>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GIS Software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QGIS: Layer → Add Layer → Add Vector Layer → select the .geojson 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rFonts w:ascii="Google Sans" w:cs="Google Sans" w:eastAsia="Google Sans" w:hAnsi="Google Sans"/>
          <w:sz w:val="22"/>
          <w:szCs w:val="22"/>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ArcGIS: Add Data → select the .geojson file</w:t>
      </w:r>
    </w:p>
    <w:p w:rsidR="00000000" w:rsidDel="00000000" w:rsidP="00000000" w:rsidRDefault="00000000" w:rsidRPr="00000000" w14:paraId="00000057">
      <w:pPr>
        <w:pStyle w:val="Heading2"/>
        <w:spacing w:after="80" w:before="28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color w:val="000000"/>
          <w:sz w:val="22"/>
          <w:szCs w:val="22"/>
          <w:rtl w:val="0"/>
        </w:rPr>
        <w:t xml:space="preserve">Python</w:t>
      </w:r>
      <w:r w:rsidDel="00000000" w:rsidR="00000000" w:rsidRPr="00000000">
        <w:rPr>
          <w:rtl w:val="0"/>
        </w:rPr>
      </w:r>
    </w:p>
    <w:p w:rsidR="00000000" w:rsidDel="00000000" w:rsidP="00000000" w:rsidRDefault="00000000" w:rsidRPr="00000000" w14:paraId="00000058">
      <w:pPr>
        <w:spacing w:after="60" w:before="60" w:line="276" w:lineRule="auto"/>
        <w:ind w:left="720" w:firstLine="0"/>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import geopandas as gpd</w:t>
      </w:r>
    </w:p>
    <w:p w:rsidR="00000000" w:rsidDel="00000000" w:rsidP="00000000" w:rsidRDefault="00000000" w:rsidRPr="00000000" w14:paraId="00000059">
      <w:pPr>
        <w:spacing w:after="60" w:before="60" w:line="276" w:lineRule="auto"/>
        <w:ind w:left="720" w:firstLine="0"/>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gdf = gpd.read_file('goa_accident_blackspots.geojson')</w:t>
      </w:r>
      <w:r w:rsidDel="00000000" w:rsidR="00000000" w:rsidRPr="00000000">
        <w:rPr>
          <w:rtl w:val="0"/>
        </w:rPr>
      </w:r>
    </w:p>
    <w:p w:rsidR="00000000" w:rsidDel="00000000" w:rsidP="00000000" w:rsidRDefault="00000000" w:rsidRPr="00000000" w14:paraId="0000005A">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8. Citation</w:t>
      </w:r>
      <w:r w:rsidDel="00000000" w:rsidR="00000000" w:rsidRPr="00000000">
        <w:rPr>
          <w:rtl w:val="0"/>
        </w:rPr>
      </w:r>
    </w:p>
    <w:p w:rsidR="00000000" w:rsidDel="00000000" w:rsidP="00000000" w:rsidRDefault="00000000" w:rsidRPr="00000000" w14:paraId="0000005B">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If you use this dataset, please cite:</w:t>
      </w:r>
    </w:p>
    <w:p w:rsidR="00000000" w:rsidDel="00000000" w:rsidP="00000000" w:rsidRDefault="00000000" w:rsidRPr="00000000" w14:paraId="0000005C">
      <w:pPr>
        <w:spacing w:after="40" w:before="40" w:line="276"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5D">
      <w:pPr>
        <w:spacing w:after="80" w:before="80" w:line="276" w:lineRule="auto"/>
        <w:ind w:left="720" w:firstLine="0"/>
        <w:rPr>
          <w:rFonts w:ascii="Google Sans" w:cs="Google Sans" w:eastAsia="Google Sans" w:hAnsi="Google Sans"/>
          <w:i w:val="1"/>
          <w:iCs w:val="1"/>
          <w:sz w:val="22"/>
          <w:szCs w:val="22"/>
        </w:rPr>
      </w:pPr>
      <w:r w:rsidDel="00000000" w:rsidR="00000000" w:rsidRPr="00000000">
        <w:rPr>
          <w:rFonts w:ascii="Google Sans" w:cs="Google Sans" w:eastAsia="Google Sans" w:hAnsi="Google Sans"/>
          <w:i w:val="1"/>
          <w:iCs w:val="1"/>
          <w:sz w:val="22"/>
          <w:szCs w:val="22"/>
          <w:rtl w:val="0"/>
        </w:rPr>
        <w:t xml:space="preserve">Climate Dot (2025). Goa Road Accident Black Spots and Accident Prone Zones_2023. Georeferenced dataset derived from Goa Traffic Police records. </w:t>
      </w:r>
    </w:p>
    <w:p w:rsidR="00000000" w:rsidDel="00000000" w:rsidP="00000000" w:rsidRDefault="00000000" w:rsidRPr="00000000" w14:paraId="0000005E">
      <w:pPr>
        <w:spacing w:after="80" w:before="80" w:line="276" w:lineRule="auto"/>
        <w:ind w:left="720" w:firstLine="0"/>
        <w:rPr>
          <w:rFonts w:ascii="Google Sans" w:cs="Google Sans" w:eastAsia="Google Sans" w:hAnsi="Google Sans"/>
          <w:sz w:val="22"/>
          <w:szCs w:val="22"/>
        </w:rPr>
      </w:pPr>
      <w:r w:rsidDel="00000000" w:rsidR="00000000" w:rsidRPr="00000000">
        <w:rPr>
          <w:rFonts w:ascii="Google Sans" w:cs="Google Sans" w:eastAsia="Google Sans" w:hAnsi="Google Sans"/>
          <w:i w:val="1"/>
          <w:iCs w:val="1"/>
          <w:sz w:val="22"/>
          <w:szCs w:val="22"/>
          <w:rtl w:val="0"/>
        </w:rPr>
        <w:t xml:space="preserve">Available at: </w:t>
      </w:r>
      <w:hyperlink r:id="rId6">
        <w:r w:rsidDel="00000000" w:rsidR="00000000" w:rsidRPr="00000000">
          <w:rPr>
            <w:rFonts w:ascii="Google Sans" w:cs="Google Sans" w:eastAsia="Google Sans" w:hAnsi="Google Sans"/>
            <w:i w:val="1"/>
            <w:iCs w:val="1"/>
            <w:color w:val="1155cc"/>
            <w:sz w:val="22"/>
            <w:szCs w:val="22"/>
            <w:u w:val="single"/>
            <w:rtl w:val="0"/>
          </w:rPr>
          <w:t xml:space="preserve">https://hamnaharoon379.github.io/Goa_Mobility/</w:t>
        </w:r>
      </w:hyperlink>
      <w:r w:rsidDel="00000000" w:rsidR="00000000" w:rsidRPr="00000000">
        <w:rPr>
          <w:rtl w:val="0"/>
        </w:rPr>
      </w:r>
    </w:p>
    <w:p w:rsidR="00000000" w:rsidDel="00000000" w:rsidP="00000000" w:rsidRDefault="00000000" w:rsidRPr="00000000" w14:paraId="0000005F">
      <w:pPr>
        <w:spacing w:after="40" w:before="40" w:line="276"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60">
      <w:pPr>
        <w:spacing w:after="100" w:before="6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Primary data credit: Goa Traffic Police, Traffic Cell.</w:t>
      </w:r>
    </w:p>
    <w:p w:rsidR="00000000" w:rsidDel="00000000" w:rsidP="00000000" w:rsidRDefault="00000000" w:rsidRPr="00000000" w14:paraId="00000061">
      <w:pPr>
        <w:pStyle w:val="Heading1"/>
        <w:spacing w:after="120" w:before="360" w:line="276" w:lineRule="auto"/>
        <w:rPr>
          <w:rFonts w:ascii="Google Sans" w:cs="Google Sans" w:eastAsia="Google Sans" w:hAnsi="Google Sans"/>
          <w:color w:val="000000"/>
          <w:sz w:val="24"/>
          <w:szCs w:val="24"/>
        </w:rPr>
      </w:pPr>
      <w:r w:rsidDel="00000000" w:rsidR="00000000" w:rsidRPr="00000000">
        <w:rPr>
          <w:rFonts w:ascii="Google Sans" w:cs="Google Sans" w:eastAsia="Google Sans" w:hAnsi="Google Sans"/>
          <w:b w:val="1"/>
          <w:bCs w:val="1"/>
          <w:color w:val="000000"/>
          <w:sz w:val="24"/>
          <w:szCs w:val="24"/>
          <w:rtl w:val="0"/>
        </w:rPr>
        <w:t xml:space="preserve">9. Contact</w:t>
      </w:r>
      <w:r w:rsidDel="00000000" w:rsidR="00000000" w:rsidRPr="00000000">
        <w:rPr>
          <w:rtl w:val="0"/>
        </w:rPr>
      </w:r>
    </w:p>
    <w:p w:rsidR="00000000" w:rsidDel="00000000" w:rsidP="00000000" w:rsidRDefault="00000000" w:rsidRPr="00000000" w14:paraId="00000062">
      <w:pPr>
        <w:spacing w:after="240" w:before="240" w:line="276"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For corrections, additions, or questions about the mapping methodology, open an issue in this repository or contact the Climate Dot team at</w:t>
      </w:r>
      <w:hyperlink r:id="rId7">
        <w:r w:rsidDel="00000000" w:rsidR="00000000" w:rsidRPr="00000000">
          <w:rPr>
            <w:rFonts w:ascii="Google Sans" w:cs="Google Sans" w:eastAsia="Google Sans" w:hAnsi="Google Sans"/>
            <w:color w:val="1155cc"/>
            <w:sz w:val="22"/>
            <w:szCs w:val="22"/>
            <w:u w:val="single"/>
            <w:rtl w:val="0"/>
          </w:rPr>
          <w:t xml:space="preserve"> </w:t>
        </w:r>
      </w:hyperlink>
      <w:hyperlink r:id="rId8">
        <w:r w:rsidDel="00000000" w:rsidR="00000000" w:rsidRPr="00000000">
          <w:rPr>
            <w:rFonts w:ascii="Google Sans" w:cs="Google Sans" w:eastAsia="Google Sans" w:hAnsi="Google Sans"/>
            <w:color w:val="1155cc"/>
            <w:sz w:val="22"/>
            <w:szCs w:val="22"/>
            <w:u w:val="single"/>
            <w:rtl w:val="0"/>
          </w:rPr>
          <w:t xml:space="preserve">hello@climatedot.org</w:t>
        </w:r>
      </w:hyperlink>
      <w:r w:rsidDel="00000000" w:rsidR="00000000" w:rsidRPr="00000000">
        <w:rPr>
          <w:rFonts w:ascii="Google Sans" w:cs="Google Sans" w:eastAsia="Google Sans" w:hAnsi="Google Sans"/>
          <w:sz w:val="22"/>
          <w:szCs w:val="22"/>
          <w:rtl w:val="0"/>
        </w:rPr>
        <w:t xml:space="preserv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mnaharoon379.github.io/Goa_Mobility/" TargetMode="External"/><Relationship Id="rId7" Type="http://schemas.openxmlformats.org/officeDocument/2006/relationships/hyperlink" Target="mailto:hello@climatedot.org" TargetMode="External"/><Relationship Id="rId8" Type="http://schemas.openxmlformats.org/officeDocument/2006/relationships/hyperlink" Target="mailto:hello@climatedo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