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594" w:rsidRPr="007D1E52" w:rsidRDefault="00A13594" w:rsidP="00A13594">
      <w:pPr>
        <w:pStyle w:val="CSRISectionTitles"/>
        <w:rPr>
          <w:lang w:val="en-IE"/>
        </w:rPr>
      </w:pPr>
      <w:bookmarkStart w:id="0" w:name="_Toc45326398"/>
      <w:bookmarkStart w:id="1" w:name="_GoBack"/>
      <w:r w:rsidRPr="007D1E52">
        <w:rPr>
          <w:lang w:val="en-IE"/>
        </w:rPr>
        <w:t>4.7 Fraction of Absorbed Photosynthetically Active Radiation (FAPAR)</w:t>
      </w:r>
      <w:bookmarkEnd w:id="0"/>
    </w:p>
    <w:bookmarkEnd w:id="1"/>
    <w:p w:rsidR="00A13594" w:rsidRPr="007D1E52" w:rsidRDefault="00A13594" w:rsidP="00A13594">
      <w:pPr>
        <w:pStyle w:val="Authors"/>
        <w:rPr>
          <w:lang w:val="en-IE"/>
        </w:rPr>
      </w:pPr>
      <w:r w:rsidRPr="007D1E52">
        <w:rPr>
          <w:lang w:val="en-IE"/>
        </w:rPr>
        <w:t xml:space="preserve">Walther C.A. Cámaro García, Ned Dwyer </w:t>
      </w:r>
    </w:p>
    <w:p w:rsidR="00A13594" w:rsidRPr="007D1E52" w:rsidRDefault="00A13594" w:rsidP="00A13594">
      <w:pPr>
        <w:pStyle w:val="VariableDescription"/>
        <w:rPr>
          <w:lang w:val="en-IE"/>
        </w:rPr>
      </w:pPr>
      <w:r w:rsidRPr="007D1E52">
        <w:rPr>
          <w:bCs/>
          <w:lang w:val="en-IE"/>
        </w:rPr>
        <w:t xml:space="preserve">Radiation from the sun plays an essential role in all biological process on Earth. Part of this radiation is absorbed by vegetation and provides the energy required for growth. This radiation is called FAPAR or the Fraction of Absorbed Photosynthetically Active Radiation. Regular observations of FAPAR are essential to understand the seasonal growth cycle of vegetation and its inter-annual variability. FAPAR observations have been shown to be a good indicator for detecting drought impacts on vegetation productivity. In addition, monitoring the variation in FAPAR over time provides information on how efficiently plants absorb </w:t>
      </w:r>
      <w:r w:rsidRPr="007D1E52">
        <w:rPr>
          <w:rFonts w:cstheme="minorHAnsi"/>
          <w:lang w:val="en-IE"/>
        </w:rPr>
        <w:t>CO</w:t>
      </w:r>
      <w:r w:rsidRPr="007D1E52">
        <w:rPr>
          <w:rFonts w:cstheme="minorHAnsi"/>
          <w:vertAlign w:val="subscript"/>
          <w:lang w:val="en-IE"/>
        </w:rPr>
        <w:t>2</w:t>
      </w:r>
      <w:r w:rsidRPr="007D1E52">
        <w:rPr>
          <w:bCs/>
          <w:lang w:val="en-IE"/>
        </w:rPr>
        <w:t xml:space="preserve"> and is useful to identify climate change effects on vegetation health and behaviour. </w:t>
      </w:r>
    </w:p>
    <w:p w:rsidR="00A13594" w:rsidRPr="007D1E52" w:rsidRDefault="00A13594" w:rsidP="00A13594">
      <w:pPr>
        <w:pStyle w:val="VariableDescription"/>
        <w:rPr>
          <w:lang w:val="en-IE"/>
        </w:rPr>
      </w:pPr>
      <w:r w:rsidRPr="007D1E52">
        <w:rPr>
          <w:noProof/>
          <w:lang w:val="en-IE" w:eastAsia="en-IE"/>
        </w:rPr>
        <mc:AlternateContent>
          <mc:Choice Requires="wps">
            <w:drawing>
              <wp:anchor distT="0" distB="0" distL="114300" distR="114300" simplePos="0" relativeHeight="251659264" behindDoc="0" locked="0" layoutInCell="1" allowOverlap="1" wp14:anchorId="4B14773F" wp14:editId="6B2F8DD1">
                <wp:simplePos x="0" y="0"/>
                <wp:positionH relativeFrom="column">
                  <wp:posOffset>4206716</wp:posOffset>
                </wp:positionH>
                <wp:positionV relativeFrom="paragraph">
                  <wp:posOffset>2221071</wp:posOffset>
                </wp:positionV>
                <wp:extent cx="1556703" cy="275908"/>
                <wp:effectExtent l="0" t="7302" r="17462" b="17463"/>
                <wp:wrapNone/>
                <wp:docPr id="1447" name="Text Box 1447"/>
                <wp:cNvGraphicFramePr/>
                <a:graphic xmlns:a="http://schemas.openxmlformats.org/drawingml/2006/main">
                  <a:graphicData uri="http://schemas.microsoft.com/office/word/2010/wordprocessingShape">
                    <wps:wsp>
                      <wps:cNvSpPr txBox="1"/>
                      <wps:spPr>
                        <a:xfrm rot="16200000">
                          <a:off x="0" y="0"/>
                          <a:ext cx="1556703" cy="275908"/>
                        </a:xfrm>
                        <a:prstGeom prst="rect">
                          <a:avLst/>
                        </a:prstGeom>
                        <a:solidFill>
                          <a:schemeClr val="lt1"/>
                        </a:solidFill>
                        <a:ln w="6350">
                          <a:solidFill>
                            <a:prstClr val="black"/>
                          </a:solidFill>
                        </a:ln>
                      </wps:spPr>
                      <wps:txbx>
                        <w:txbxContent>
                          <w:p w:rsidR="00A13594" w:rsidRPr="00186597" w:rsidRDefault="00A13594" w:rsidP="00A13594">
                            <w:pPr>
                              <w:rPr>
                                <w:sz w:val="16"/>
                              </w:rPr>
                            </w:pPr>
                            <w:r w:rsidRPr="00186597">
                              <w:rPr>
                                <w:sz w:val="16"/>
                              </w:rPr>
                              <w:t xml:space="preserve">Photo: </w:t>
                            </w:r>
                            <w:r>
                              <w:rPr>
                                <w:sz w:val="16"/>
                              </w:rPr>
                              <w:t>@V</w:t>
                            </w:r>
                            <w:r w:rsidRPr="00513A6C">
                              <w:rPr>
                                <w:sz w:val="16"/>
                              </w:rPr>
                              <w:t>ytenis Malisauskas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4773F" id="_x0000_t202" coordsize="21600,21600" o:spt="202" path="m,l,21600r21600,l21600,xe">
                <v:stroke joinstyle="miter"/>
                <v:path gradientshapeok="t" o:connecttype="rect"/>
              </v:shapetype>
              <v:shape id="Text Box 1447" o:spid="_x0000_s1026" type="#_x0000_t202" style="position:absolute;left:0;text-align:left;margin-left:331.25pt;margin-top:174.9pt;width:122.6pt;height:21.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pEVAIAALYEAAAOAAAAZHJzL2Uyb0RvYy54bWysVE1PGzEQvVfqf7B8L5uEfEDEBqVBVJUQ&#10;IAHi7Hi9ZFWvx7Wd7NJf32fvJgTaU9UcrPHM2+eZNzO5uGxrzXbK+YpMzocnA86UkVRU5iXnT4/X&#10;X84480GYQmgyKuevyvPLxedPF42dqxFtSBfKMZAYP29szjch2HmWeblRtfAnZJVBsCRXi4Cre8kK&#10;Jxqw1zobDQbTrCFXWEdSeQ/vVRfki8RflkqGu7L0KjCdc+QW0unSuY5ntrgQ8xcn7KaSfRriH7Ko&#10;RWXw6IHqSgTBtq76g6qupCNPZTiRVGdUlpVUqQZUMxx8qOZhI6xKtUAcbw8y+f9HK293945VBXo3&#10;Hs84M6JGlx5VG9hXallyQqPG+jmgDxbg0CICfNQu+j2csfS2dDVzBImHU7QGv6QIamSAQ/zXg+CR&#10;XkaOyWQ6G5xyJhEbzSbng7PImnVkkdQ6H74pqlk0cu7Q0MQqdjc+dNA9JMI96aq4rrROlzhEaqUd&#10;2wm0X4eUMsjfobRhTc6np5Mu3XexSH34fq2F/NGnd4QCnzbI+U2KaIV23fb6rKl4hWxJGajgrbyu&#10;wHsjfLgXDtMGJzYo3OEoNSEZ6i3ONuR+/c0f8RgCRDlrML059z+3winO9HeD8ThH4+K4p8t4Mhvh&#10;4o4j6+OI2dYrgkLDlF0yIz7ovVk6qp+xaMv4KkLCSLyd87A3V6HbKSyqVMtlAmHArQg35sHKSL3v&#10;5mP7LJzt+xkwCbe0n3Mx/9DWDhu/NLTcBiqr1PMocKdqrzuWI01Nv8hx+47vCfX2d7P4DQAA//8D&#10;AFBLAwQUAAYACAAAACEAIx2vMOEAAAALAQAADwAAAGRycy9kb3ducmV2LnhtbEyPQUvDQBCF74L/&#10;YRnBm92YhtjGbIqKUpAiWAWvm+yYjWZnY3bbpv56x5Meh3m8933lanK92OMYOk8KLmcJCKTGm45a&#10;Ba8vDxcLECFqMrr3hAqOGGBVnZ6UujD+QM+438ZWcAmFQiuwMQ6FlKGx6HSY+QGJf+9+dDryObbS&#10;jPrA5a6XaZLk0umOeMHqAe8sNp/bnVPwPT1+5Lc1re87jF/2bf10dBtU6vxsurkGEXGKf2H4xWd0&#10;qJip9jsyQfQKrvL5nKMK0mzJUpxYJDnL1AqyZZaCrEr536H6AQAA//8DAFBLAQItABQABgAIAAAA&#10;IQC2gziS/gAAAOEBAAATAAAAAAAAAAAAAAAAAAAAAABbQ29udGVudF9UeXBlc10ueG1sUEsBAi0A&#10;FAAGAAgAAAAhADj9If/WAAAAlAEAAAsAAAAAAAAAAAAAAAAALwEAAF9yZWxzLy5yZWxzUEsBAi0A&#10;FAAGAAgAAAAhAD1sCkRUAgAAtgQAAA4AAAAAAAAAAAAAAAAALgIAAGRycy9lMm9Eb2MueG1sUEsB&#10;Ai0AFAAGAAgAAAAhACMdrzDhAAAACwEAAA8AAAAAAAAAAAAAAAAArgQAAGRycy9kb3ducmV2Lnht&#10;bFBLBQYAAAAABAAEAPMAAAC8BQAAAAA=&#10;" fillcolor="white [3201]" strokeweight=".5pt">
                <v:textbox>
                  <w:txbxContent>
                    <w:p w:rsidR="00A13594" w:rsidRPr="00186597" w:rsidRDefault="00A13594" w:rsidP="00A13594">
                      <w:pPr>
                        <w:rPr>
                          <w:sz w:val="16"/>
                        </w:rPr>
                      </w:pPr>
                      <w:r w:rsidRPr="00186597">
                        <w:rPr>
                          <w:sz w:val="16"/>
                        </w:rPr>
                        <w:t xml:space="preserve">Photo: </w:t>
                      </w:r>
                      <w:r>
                        <w:rPr>
                          <w:sz w:val="16"/>
                        </w:rPr>
                        <w:t>@V</w:t>
                      </w:r>
                      <w:r w:rsidRPr="00513A6C">
                        <w:rPr>
                          <w:sz w:val="16"/>
                        </w:rPr>
                        <w:t>ytenis Malisauskas</w:t>
                      </w:r>
                    </w:p>
                  </w:txbxContent>
                </v:textbox>
              </v:shape>
            </w:pict>
          </mc:Fallback>
        </mc:AlternateContent>
      </w:r>
      <w:r w:rsidRPr="007D1E52">
        <w:rPr>
          <w:noProof/>
          <w:lang w:val="en-IE" w:eastAsia="en-IE"/>
        </w:rPr>
        <w:drawing>
          <wp:inline distT="0" distB="0" distL="0" distR="0" wp14:anchorId="1A607447" wp14:editId="01598A42">
            <wp:extent cx="4800600" cy="3209097"/>
            <wp:effectExtent l="0" t="0" r="0" b="0"/>
            <wp:docPr id="1449" name="Picture 1449" descr="A large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MC_4382 Vytenis Malisauskas_sm.jpg"/>
                    <pic:cNvPicPr/>
                  </pic:nvPicPr>
                  <pic:blipFill>
                    <a:blip r:embed="rId5">
                      <a:extLst>
                        <a:ext uri="{28A0092B-C50C-407E-A947-70E740481C1C}">
                          <a14:useLocalDpi xmlns:a14="http://schemas.microsoft.com/office/drawing/2010/main" val="0"/>
                        </a:ext>
                      </a:extLst>
                    </a:blip>
                    <a:stretch>
                      <a:fillRect/>
                    </a:stretch>
                  </pic:blipFill>
                  <pic:spPr>
                    <a:xfrm>
                      <a:off x="0" y="0"/>
                      <a:ext cx="4841101" cy="3236171"/>
                    </a:xfrm>
                    <a:prstGeom prst="rect">
                      <a:avLst/>
                    </a:prstGeom>
                  </pic:spPr>
                </pic:pic>
              </a:graphicData>
            </a:graphic>
          </wp:inline>
        </w:drawing>
      </w:r>
    </w:p>
    <w:p w:rsidR="00A13594" w:rsidRPr="007D1E52" w:rsidRDefault="00A13594" w:rsidP="00A13594">
      <w:pPr>
        <w:pStyle w:val="CSRISubSectionTitles"/>
        <w:rPr>
          <w:lang w:val="en-IE"/>
        </w:rPr>
        <w:sectPr w:rsidR="00A13594" w:rsidRPr="007D1E52" w:rsidSect="00A13594">
          <w:headerReference w:type="even" r:id="rId6"/>
          <w:headerReference w:type="first" r:id="rId7"/>
          <w:pgSz w:w="11906" w:h="16838"/>
          <w:pgMar w:top="1440" w:right="1440" w:bottom="1440" w:left="1440" w:header="708" w:footer="708" w:gutter="0"/>
          <w:pgNumType w:start="162"/>
          <w:cols w:space="708"/>
          <w:docGrid w:linePitch="360"/>
        </w:sectPr>
      </w:pPr>
    </w:p>
    <w:p w:rsidR="00A13594" w:rsidRPr="007D1E52" w:rsidRDefault="00A13594" w:rsidP="00A13594">
      <w:pPr>
        <w:pStyle w:val="CSRISubSectionTitles"/>
        <w:rPr>
          <w:lang w:val="en-IE"/>
        </w:rPr>
      </w:pPr>
      <w:r w:rsidRPr="007D1E52">
        <w:rPr>
          <w:lang w:val="en-IE"/>
        </w:rPr>
        <w:t>Measurements</w:t>
      </w:r>
    </w:p>
    <w:p w:rsidR="00A13594" w:rsidRPr="007D1E52" w:rsidRDefault="00A13594" w:rsidP="00A13594">
      <w:pPr>
        <w:pStyle w:val="CSRIText"/>
        <w:rPr>
          <w:lang w:val="en-IE"/>
        </w:rPr>
      </w:pPr>
      <w:r w:rsidRPr="007D1E52">
        <w:rPr>
          <w:lang w:val="en-IE"/>
        </w:rPr>
        <w:t xml:space="preserve">FAPAR is challenging to measure on the ground in tall and heterogeneous vegetation environments. Measurements tend to be made at local scales and for research studies and are labour intensive to implement. Globally, only a small group of short land cover types, in a few climatic zones, have been adequately characterized through FAPAR measurements.  There is no long-term </w:t>
      </w:r>
      <w:r w:rsidRPr="007D1E52">
        <w:rPr>
          <w:i/>
          <w:iCs/>
          <w:lang w:val="en-IE"/>
        </w:rPr>
        <w:t xml:space="preserve">in situ </w:t>
      </w:r>
      <w:r w:rsidRPr="007D1E52">
        <w:rPr>
          <w:lang w:val="en-IE"/>
        </w:rPr>
        <w:t>FAPAR</w:t>
      </w:r>
      <w:r w:rsidRPr="007D1E52">
        <w:rPr>
          <w:i/>
          <w:iCs/>
          <w:lang w:val="en-IE"/>
        </w:rPr>
        <w:t xml:space="preserve"> </w:t>
      </w:r>
      <w:r w:rsidRPr="007D1E52">
        <w:rPr>
          <w:lang w:val="en-IE"/>
        </w:rPr>
        <w:t xml:space="preserve">monitoring programme in Ireland. </w:t>
      </w:r>
      <w:r w:rsidRPr="007D1E52">
        <w:rPr>
          <w:lang w:val="en-IE"/>
        </w:rPr>
        <w:t xml:space="preserve">Regional FAPAR estimates are generally based on observations from satellite sensors, which have the ability to measure the visible and infra-red radiation reflected by the Earth’s surface on a regular basis. The Copernicus Global Land Service (CGLS) generates a FAPAR dataset as part of a set of vegetation monitoring products. This dataset is derived from the SPOT VEGETATION and PROBA-V satellite programmes. </w:t>
      </w:r>
    </w:p>
    <w:p w:rsidR="00A13594" w:rsidRPr="007D1E52" w:rsidRDefault="00A13594" w:rsidP="00A13594">
      <w:pPr>
        <w:pStyle w:val="VariableFacts"/>
        <w:ind w:left="357"/>
        <w:rPr>
          <w:lang w:val="en-IE"/>
        </w:rPr>
      </w:pPr>
      <w:r w:rsidRPr="007D1E52">
        <w:rPr>
          <w:lang w:val="en-IE"/>
        </w:rPr>
        <w:lastRenderedPageBreak/>
        <w:t xml:space="preserve">‘The highest photosynthetic activity over Ireland is observed from May to July. Western margins of the country show the lowest values of FAPAR. </w:t>
      </w:r>
    </w:p>
    <w:p w:rsidR="00A13594" w:rsidRPr="007D1E52" w:rsidRDefault="00A13594" w:rsidP="00A13594">
      <w:pPr>
        <w:pStyle w:val="CSRISubSectionTitles"/>
        <w:rPr>
          <w:lang w:val="en-IE"/>
        </w:rPr>
      </w:pPr>
      <w:r w:rsidRPr="007D1E52">
        <w:rPr>
          <w:lang w:val="en-IE"/>
        </w:rPr>
        <w:t>Time-series and Trends</w:t>
      </w:r>
    </w:p>
    <w:p w:rsidR="00A13594" w:rsidRPr="007D1E52" w:rsidRDefault="00A13594" w:rsidP="00A13594">
      <w:pPr>
        <w:pStyle w:val="CSRIText"/>
        <w:rPr>
          <w:lang w:val="en-IE"/>
        </w:rPr>
      </w:pPr>
      <w:r w:rsidRPr="007D1E52">
        <w:rPr>
          <w:lang w:val="en-IE"/>
        </w:rPr>
        <w:t>Figure 4.12 shows a heat map of 10-Day averaged FAPAR derived over Ireland using the CGLS dataset. The red colour represents the 10-day periods with the highest values; only 5% of the values are at or above the threshold of 0.76 (the 95th percentile).  A seasonal trend is observed, where the highest values occur during summer, particularly in June, when vegetation tends to have higher photosynthetic activity, whilst the lowest values are observed during winter months.  The highest values in the time series are in the summer periods between 2007 and 2009, and between 2013 and2017.</w:t>
      </w:r>
    </w:p>
    <w:p w:rsidR="00A13594" w:rsidRPr="007D1E52" w:rsidRDefault="00A13594" w:rsidP="00A13594">
      <w:pPr>
        <w:pStyle w:val="CSRIText"/>
        <w:rPr>
          <w:lang w:val="en-IE"/>
        </w:rPr>
      </w:pPr>
      <w:r w:rsidRPr="007D1E52">
        <w:rPr>
          <w:lang w:val="en-IE"/>
        </w:rPr>
        <w:t xml:space="preserve">Figure 4.13 shows a set of maps of the 10-day FAPAR derived from the CGLS over Ireland in 2018 for the periods (a) 1–10 January; (b) 1–10 April; (c) 1–10 June; (d) 1–10 September. This illustrates how photosynthetic activity varies spatially during the year. The brown colour corresponds to areas with high photosynthetic activity and yellow/white areas indicate vegetation with a low degree of photosynthetic activity. The western margins have the lowest photosynthetic activity in the country during all periods.  </w:t>
      </w:r>
    </w:p>
    <w:p w:rsidR="00A13594" w:rsidRPr="007D1E52" w:rsidRDefault="00A13594" w:rsidP="00A13594">
      <w:pPr>
        <w:pStyle w:val="VariableFacts"/>
        <w:ind w:left="357"/>
        <w:rPr>
          <w:lang w:val="en-IE"/>
        </w:rPr>
        <w:sectPr w:rsidR="00A13594" w:rsidRPr="007D1E52" w:rsidSect="00C123A1">
          <w:type w:val="continuous"/>
          <w:pgSz w:w="11906" w:h="16838"/>
          <w:pgMar w:top="1440" w:right="1440" w:bottom="1440" w:left="1440" w:header="708" w:footer="708" w:gutter="0"/>
          <w:cols w:num="2" w:space="708"/>
          <w:docGrid w:linePitch="360"/>
        </w:sectPr>
      </w:pPr>
      <w:r w:rsidRPr="007D1E52">
        <w:rPr>
          <w:lang w:val="en-IE"/>
        </w:rPr>
        <w:t>‘A ground-based FAPAR observation system should be considered in order to validate and support satellite observations.’</w:t>
      </w:r>
    </w:p>
    <w:p w:rsidR="00A13594" w:rsidRPr="007D1E52" w:rsidRDefault="00A13594" w:rsidP="00A13594">
      <w:pPr>
        <w:rPr>
          <w:b/>
          <w:i/>
        </w:rPr>
        <w:sectPr w:rsidR="00A13594" w:rsidRPr="007D1E52" w:rsidSect="00C123A1">
          <w:type w:val="continuous"/>
          <w:pgSz w:w="11906" w:h="16838"/>
          <w:pgMar w:top="1440" w:right="1440" w:bottom="1440" w:left="1440" w:header="708" w:footer="708" w:gutter="0"/>
          <w:cols w:space="708"/>
          <w:docGrid w:linePitch="360"/>
        </w:sectPr>
      </w:pPr>
    </w:p>
    <w:p w:rsidR="00A13594" w:rsidRPr="007D1E52" w:rsidRDefault="00A13594" w:rsidP="00A13594">
      <w:pPr>
        <w:ind w:left="-851"/>
        <w:jc w:val="center"/>
        <w:rPr>
          <w:b/>
          <w:i/>
        </w:rPr>
      </w:pPr>
      <w:r w:rsidRPr="007D1E52">
        <w:rPr>
          <w:noProof/>
          <w:lang w:eastAsia="en-IE"/>
        </w:rPr>
        <w:drawing>
          <wp:inline distT="0" distB="0" distL="0" distR="0" wp14:anchorId="6319BDDF" wp14:editId="6D96012E">
            <wp:extent cx="6960456" cy="32400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0456" cy="3240000"/>
                    </a:xfrm>
                    <a:prstGeom prst="rect">
                      <a:avLst/>
                    </a:prstGeom>
                    <a:noFill/>
                    <a:ln>
                      <a:noFill/>
                    </a:ln>
                  </pic:spPr>
                </pic:pic>
              </a:graphicData>
            </a:graphic>
          </wp:inline>
        </w:drawing>
      </w:r>
    </w:p>
    <w:p w:rsidR="00A13594" w:rsidRPr="007D1E52" w:rsidRDefault="00A13594" w:rsidP="00A13594">
      <w:pPr>
        <w:pStyle w:val="FiguresDescription"/>
        <w:rPr>
          <w:lang w:val="en-IE"/>
        </w:rPr>
      </w:pPr>
      <w:r w:rsidRPr="007D1E52">
        <w:rPr>
          <w:b/>
          <w:lang w:val="en-IE"/>
        </w:rPr>
        <w:t xml:space="preserve">Figure 4.12. </w:t>
      </w:r>
      <w:r w:rsidRPr="007D1E52">
        <w:rPr>
          <w:lang w:val="en-IE"/>
        </w:rPr>
        <w:t>Heat map of 10-Day periods of average FAPAR over Ireland derived from the Copernicus Global Land Service (CGLS) datasets for the period 1999 to 2018. The data are presented as percentiles. For example, the 75th percentile means that 75% of all the values are below 0.72 and 25% of the values are above it.</w:t>
      </w:r>
      <w:r w:rsidRPr="007D1E52">
        <w:rPr>
          <w:color w:val="FF0000"/>
          <w:lang w:val="en-IE"/>
        </w:rPr>
        <w:t xml:space="preserve">  </w:t>
      </w:r>
    </w:p>
    <w:p w:rsidR="00A13594" w:rsidRPr="007D1E52" w:rsidRDefault="00A13594" w:rsidP="00A13594">
      <w:pPr>
        <w:jc w:val="center"/>
      </w:pPr>
      <w:r w:rsidRPr="007D1E52">
        <w:rPr>
          <w:noProof/>
          <w:lang w:eastAsia="en-IE"/>
        </w:rPr>
        <w:drawing>
          <wp:inline distT="0" distB="0" distL="0" distR="0" wp14:anchorId="2EB83FF7" wp14:editId="6D7AC31D">
            <wp:extent cx="5731510" cy="2436495"/>
            <wp:effectExtent l="0" t="0" r="2540" b="1905"/>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PAR_Seasonal_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inline>
        </w:drawing>
      </w:r>
    </w:p>
    <w:p w:rsidR="00A13594" w:rsidRPr="007D1E52" w:rsidRDefault="00A13594" w:rsidP="00A13594">
      <w:pPr>
        <w:pStyle w:val="FiguresDescription"/>
        <w:spacing w:after="100" w:afterAutospacing="1"/>
        <w:rPr>
          <w:lang w:val="en-IE"/>
        </w:rPr>
        <w:sectPr w:rsidR="00A13594" w:rsidRPr="007D1E52" w:rsidSect="006A220A">
          <w:type w:val="continuous"/>
          <w:pgSz w:w="11906" w:h="16838"/>
          <w:pgMar w:top="1440" w:right="1440" w:bottom="1440" w:left="1440" w:header="708" w:footer="708" w:gutter="0"/>
          <w:cols w:space="708"/>
          <w:docGrid w:linePitch="360"/>
        </w:sectPr>
      </w:pPr>
      <w:r w:rsidRPr="007D1E52">
        <w:rPr>
          <w:noProof/>
          <w:lang w:val="en-IE" w:eastAsia="en-IE"/>
        </w:rPr>
        <mc:AlternateContent>
          <mc:Choice Requires="wps">
            <w:drawing>
              <wp:anchor distT="0" distB="0" distL="114300" distR="114300" simplePos="0" relativeHeight="251660288" behindDoc="0" locked="0" layoutInCell="1" allowOverlap="1" wp14:anchorId="199C2E51" wp14:editId="17A999CB">
                <wp:simplePos x="0" y="0"/>
                <wp:positionH relativeFrom="column">
                  <wp:posOffset>3054084</wp:posOffset>
                </wp:positionH>
                <wp:positionV relativeFrom="paragraph">
                  <wp:posOffset>643536</wp:posOffset>
                </wp:positionV>
                <wp:extent cx="2847975" cy="3521075"/>
                <wp:effectExtent l="19050" t="19050" r="28575" b="22225"/>
                <wp:wrapNone/>
                <wp:docPr id="1448" name="Text Box 1448"/>
                <wp:cNvGraphicFramePr/>
                <a:graphic xmlns:a="http://schemas.openxmlformats.org/drawingml/2006/main">
                  <a:graphicData uri="http://schemas.microsoft.com/office/word/2010/wordprocessingShape">
                    <wps:wsp>
                      <wps:cNvSpPr txBox="1"/>
                      <wps:spPr>
                        <a:xfrm>
                          <a:off x="0" y="0"/>
                          <a:ext cx="2847975" cy="3521075"/>
                        </a:xfrm>
                        <a:prstGeom prst="rect">
                          <a:avLst/>
                        </a:prstGeom>
                        <a:solidFill>
                          <a:schemeClr val="accent3">
                            <a:lumMod val="20000"/>
                            <a:lumOff val="80000"/>
                          </a:schemeClr>
                        </a:solidFill>
                        <a:ln w="28575">
                          <a:solidFill>
                            <a:srgbClr val="0070C0"/>
                          </a:solidFill>
                        </a:ln>
                      </wps:spPr>
                      <wps:style>
                        <a:lnRef idx="2">
                          <a:schemeClr val="accent2"/>
                        </a:lnRef>
                        <a:fillRef idx="1">
                          <a:schemeClr val="lt1"/>
                        </a:fillRef>
                        <a:effectRef idx="0">
                          <a:schemeClr val="accent2"/>
                        </a:effectRef>
                        <a:fontRef idx="minor">
                          <a:schemeClr val="dk1"/>
                        </a:fontRef>
                      </wps:style>
                      <wps:txbx>
                        <w:txbxContent>
                          <w:p w:rsidR="00A13594" w:rsidRDefault="00A13594" w:rsidP="00A13594">
                            <w:pPr>
                              <w:pStyle w:val="CSRISubSectionTitles"/>
                            </w:pPr>
                            <w:r>
                              <w:t>Further Information:</w:t>
                            </w:r>
                          </w:p>
                          <w:p w:rsidR="00A13594" w:rsidRDefault="00A13594" w:rsidP="00A13594">
                            <w:pPr>
                              <w:pStyle w:val="NoSpacing"/>
                              <w:numPr>
                                <w:ilvl w:val="0"/>
                                <w:numId w:val="1"/>
                              </w:numPr>
                              <w:rPr>
                                <w:b/>
                                <w:i/>
                              </w:rPr>
                            </w:pPr>
                            <w:r>
                              <w:rPr>
                                <w:b/>
                                <w:i/>
                              </w:rPr>
                              <w:t xml:space="preserve">FAPAR </w:t>
                            </w:r>
                            <w:r w:rsidRPr="00BB1652">
                              <w:rPr>
                                <w:b/>
                                <w:i/>
                              </w:rPr>
                              <w:t>ESSENTIAL CLIMATE VARIABLE (ECV)</w:t>
                            </w:r>
                            <w:r>
                              <w:rPr>
                                <w:b/>
                                <w:i/>
                              </w:rPr>
                              <w:t>.</w:t>
                            </w:r>
                            <w:r w:rsidRPr="00BB1652">
                              <w:rPr>
                                <w:b/>
                                <w:i/>
                              </w:rPr>
                              <w:t xml:space="preserve"> GCOS FACTSHEET</w:t>
                            </w:r>
                            <w:r>
                              <w:rPr>
                                <w:b/>
                                <w:i/>
                              </w:rPr>
                              <w:t xml:space="preserve">S: </w:t>
                            </w:r>
                            <w:r w:rsidRPr="00320730">
                              <w:rPr>
                                <w:rStyle w:val="Hyperlink"/>
                                <w:b/>
                              </w:rPr>
                              <w:t>(</w:t>
                            </w:r>
                            <w:hyperlink r:id="rId10" w:history="1">
                              <w:r w:rsidRPr="00320730">
                                <w:rPr>
                                  <w:rStyle w:val="Hyperlink"/>
                                  <w:b/>
                                </w:rPr>
                                <w:t>https://gcos.wmo.int/en/essential-climate-variables/fapar/</w:t>
                              </w:r>
                            </w:hyperlink>
                            <w:r w:rsidRPr="00320730">
                              <w:rPr>
                                <w:b/>
                                <w:i/>
                              </w:rPr>
                              <w:t>)</w:t>
                            </w:r>
                            <w:r w:rsidRPr="00BB1652">
                              <w:rPr>
                                <w:b/>
                                <w:i/>
                              </w:rPr>
                              <w:t xml:space="preserve"> </w:t>
                            </w:r>
                          </w:p>
                          <w:p w:rsidR="00A13594" w:rsidRDefault="00A13594" w:rsidP="00A13594">
                            <w:pPr>
                              <w:pStyle w:val="NoSpacing"/>
                              <w:numPr>
                                <w:ilvl w:val="0"/>
                                <w:numId w:val="1"/>
                              </w:numPr>
                              <w:rPr>
                                <w:b/>
                                <w:i/>
                              </w:rPr>
                            </w:pPr>
                            <w:r w:rsidRPr="00A95DE2">
                              <w:rPr>
                                <w:b/>
                                <w:i/>
                              </w:rPr>
                              <w:t>Copernicus Global Land Service (CGLS) data</w:t>
                            </w:r>
                            <w:r>
                              <w:rPr>
                                <w:b/>
                                <w:i/>
                              </w:rPr>
                              <w:t>:</w:t>
                            </w:r>
                            <w:r w:rsidRPr="00A95DE2">
                              <w:rPr>
                                <w:b/>
                                <w:i/>
                              </w:rPr>
                              <w:t xml:space="preserve"> (</w:t>
                            </w:r>
                            <w:hyperlink r:id="rId11" w:history="1">
                              <w:r w:rsidRPr="00621BEF">
                                <w:rPr>
                                  <w:rStyle w:val="Hyperlink"/>
                                  <w:b/>
                                </w:rPr>
                                <w:t>https://land.copernicus.eu/global/products/fapar</w:t>
                              </w:r>
                            </w:hyperlink>
                            <w:r w:rsidRPr="00A95DE2">
                              <w:rPr>
                                <w:b/>
                                <w:i/>
                              </w:rPr>
                              <w:t>)</w:t>
                            </w:r>
                          </w:p>
                          <w:p w:rsidR="00A13594" w:rsidRDefault="00A13594" w:rsidP="00A13594">
                            <w:pPr>
                              <w:pStyle w:val="NoSpacing"/>
                              <w:numPr>
                                <w:ilvl w:val="0"/>
                                <w:numId w:val="1"/>
                              </w:numPr>
                              <w:rPr>
                                <w:b/>
                                <w:i/>
                              </w:rPr>
                            </w:pPr>
                            <w:r w:rsidRPr="00A95DE2">
                              <w:rPr>
                                <w:b/>
                                <w:i/>
                              </w:rPr>
                              <w:t>Joint Research Centre (JRC) FAPAR project</w:t>
                            </w:r>
                            <w:r>
                              <w:rPr>
                                <w:b/>
                                <w:i/>
                              </w:rPr>
                              <w:t>:</w:t>
                            </w:r>
                            <w:r w:rsidRPr="00A95DE2">
                              <w:rPr>
                                <w:b/>
                                <w:i/>
                              </w:rPr>
                              <w:t xml:space="preserve"> (</w:t>
                            </w:r>
                            <w:hyperlink r:id="rId12" w:history="1">
                              <w:r w:rsidRPr="00621BEF">
                                <w:rPr>
                                  <w:rStyle w:val="Hyperlink"/>
                                  <w:b/>
                                </w:rPr>
                                <w:t>https://fapar.jrc.ec.europa.eu/Home.php</w:t>
                              </w:r>
                            </w:hyperlink>
                            <w:r w:rsidRPr="00A95DE2">
                              <w:rPr>
                                <w:b/>
                                <w:i/>
                              </w:rPr>
                              <w:t>)</w:t>
                            </w:r>
                          </w:p>
                          <w:p w:rsidR="00A13594" w:rsidRPr="00A95DE2" w:rsidRDefault="00A13594" w:rsidP="00A13594">
                            <w:pPr>
                              <w:pStyle w:val="NoSpacing"/>
                              <w:numPr>
                                <w:ilvl w:val="0"/>
                                <w:numId w:val="1"/>
                              </w:numPr>
                              <w:rPr>
                                <w:b/>
                                <w:i/>
                              </w:rPr>
                            </w:pPr>
                            <w:r>
                              <w:rPr>
                                <w:b/>
                                <w:i/>
                              </w:rPr>
                              <w:t xml:space="preserve">Sentinel Global Vegetation Index (FAPAR) description: </w:t>
                            </w:r>
                            <w:r w:rsidRPr="00621BEF">
                              <w:rPr>
                                <w:b/>
                                <w:i/>
                              </w:rPr>
                              <w:t>(</w:t>
                            </w:r>
                            <w:hyperlink r:id="rId13" w:history="1">
                              <w:r w:rsidRPr="00621BEF">
                                <w:rPr>
                                  <w:rStyle w:val="Hyperlink"/>
                                  <w:b/>
                                </w:rPr>
                                <w:t>https://sentinel.esa.int/web/sentinel/technical-guides/sentinel-3-olci/level-2/olci-global-vegetation-index-fapar</w:t>
                              </w:r>
                            </w:hyperlink>
                            <w:r w:rsidRPr="00621BEF">
                              <w:rPr>
                                <w:b/>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C2E51" id="Text Box 1448" o:spid="_x0000_s1027" type="#_x0000_t202" style="position:absolute;left:0;text-align:left;margin-left:240.5pt;margin-top:50.65pt;width:224.25pt;height:27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3WugIAAO8FAAAOAAAAZHJzL2Uyb0RvYy54bWysVFtv0zAUfkfiP1h+Z0m7lm7V0qkUDSGN&#10;bWJDe3Ydp41wbGO7Tcqv57Nz6dj6hHhJfO7nfOdydd1UkuyFdaVWGR2dpZQIxXVeqk1GfzzdfLig&#10;xHmmcia1Ehk9CEevF+/fXdVmLsZ6q2UuLIET5ea1yejWezNPEse3omLuTBuhICy0rZgHaTdJblkN&#10;75VMxmn6Mam1zY3VXDgH7udWSBfRf1EI7u+LwglPZEaRm49fG7/r8E0WV2y+scxsS96lwf4hi4qV&#10;CkEHV5+ZZ2RnyzeuqpJb7XThz7iuEl0UJRexBlQzSl9V87hlRsRaAI4zA0zu/7nld/sHS8ocvZtM&#10;0CvFKnTpSTSefNINiUxgVBs3h+qjgbJvIIF+wC7wHZih9KawVfijKAI50D4MCAd/HMzxxWR2OZtS&#10;wiE7n45HKQj4SY7mxjr/ReiKhEdGLVoYkWX7W+db1V4lRHNalvlNKWUkwtiIlbRkz9BwxrlQ/jya&#10;y131TectH4OTdq0HGwPSsi96NrKJAxg8xdz+CiIVqUMlU6T+NgO7WQ/x03SWrmKg4PGYKCip4PiI&#10;Xnz5gxTBoVTfRYGeBLzaCKfKGne4Re1gVgCEwXB0ylD62DSE73SDmYhbMhimpwxbIPuIg0WMqpUf&#10;jKtSaXvKQf5ziNzq99W3NYfyfbNu2kHsB2ut8wPmzep2a53hNyVm4pY5/8As1hQjhtPj7/EppEZT&#10;dPeiZKvt71P8oI/tgZSSGmufUfdrx6ygRH5V2KtLTHy4E5GYTGdjEPalZP1SonbVSmPQRjhyhsdn&#10;0PeyfxZWV8+4UMsQFSKmOGJn1PfPlW+PES4cF8tlVMJlMMzfqkfDg+uAcpj4p+aZWdOthcdG3en+&#10;QLD5q+1odYOl0sud10UZVyfg3KLa4Y+rEge8u4DhbL2ko9bxTi/+AAAA//8DAFBLAwQUAAYACAAA&#10;ACEA/WNBvOAAAAALAQAADwAAAGRycy9kb3ducmV2LnhtbEyPwU7DMBBE70j8g7VIXBC1U0iVhjgV&#10;IOi1ou0HuPGSRInXIXbb0K9nOcFxNKOZN8Vqcr044RhaTxqSmQKBVHnbUq1hv3u/z0CEaMia3hNq&#10;+MYAq/L6qjC59Wf6wNM21oJLKORGQxPjkEsZqgadCTM/ILH36UdnIsuxlnY0Zy53vZwrtZDOtMQL&#10;jRnwtcGq2x6dBrnb092XW3dvVg2XzQtl3WVdaX17Mz0/gYg4xb8w/OIzOpTMdPBHskH0Gh6zhL9E&#10;NlTyAIITy/kyBXHQsEjTDGRZyP8fyh8AAAD//wMAUEsBAi0AFAAGAAgAAAAhALaDOJL+AAAA4QEA&#10;ABMAAAAAAAAAAAAAAAAAAAAAAFtDb250ZW50X1R5cGVzXS54bWxQSwECLQAUAAYACAAAACEAOP0h&#10;/9YAAACUAQAACwAAAAAAAAAAAAAAAAAvAQAAX3JlbHMvLnJlbHNQSwECLQAUAAYACAAAACEA4EiN&#10;1roCAADvBQAADgAAAAAAAAAAAAAAAAAuAgAAZHJzL2Uyb0RvYy54bWxQSwECLQAUAAYACAAAACEA&#10;/WNBvOAAAAALAQAADwAAAAAAAAAAAAAAAAAUBQAAZHJzL2Rvd25yZXYueG1sUEsFBgAAAAAEAAQA&#10;8wAAACEGAAAAAA==&#10;" fillcolor="#ededed [662]" strokecolor="#0070c0" strokeweight="2.25pt">
                <v:textbox>
                  <w:txbxContent>
                    <w:p w:rsidR="00A13594" w:rsidRDefault="00A13594" w:rsidP="00A13594">
                      <w:pPr>
                        <w:pStyle w:val="CSRISubSectionTitles"/>
                      </w:pPr>
                      <w:r>
                        <w:t>Further Information:</w:t>
                      </w:r>
                    </w:p>
                    <w:p w:rsidR="00A13594" w:rsidRDefault="00A13594" w:rsidP="00A13594">
                      <w:pPr>
                        <w:pStyle w:val="NoSpacing"/>
                        <w:numPr>
                          <w:ilvl w:val="0"/>
                          <w:numId w:val="1"/>
                        </w:numPr>
                        <w:rPr>
                          <w:b/>
                          <w:i/>
                        </w:rPr>
                      </w:pPr>
                      <w:r>
                        <w:rPr>
                          <w:b/>
                          <w:i/>
                        </w:rPr>
                        <w:t xml:space="preserve">FAPAR </w:t>
                      </w:r>
                      <w:r w:rsidRPr="00BB1652">
                        <w:rPr>
                          <w:b/>
                          <w:i/>
                        </w:rPr>
                        <w:t>ESSENTIAL CLIMATE VARIABLE (ECV)</w:t>
                      </w:r>
                      <w:r>
                        <w:rPr>
                          <w:b/>
                          <w:i/>
                        </w:rPr>
                        <w:t>.</w:t>
                      </w:r>
                      <w:r w:rsidRPr="00BB1652">
                        <w:rPr>
                          <w:b/>
                          <w:i/>
                        </w:rPr>
                        <w:t xml:space="preserve"> GCOS FACTSHEET</w:t>
                      </w:r>
                      <w:r>
                        <w:rPr>
                          <w:b/>
                          <w:i/>
                        </w:rPr>
                        <w:t xml:space="preserve">S: </w:t>
                      </w:r>
                      <w:r w:rsidRPr="00320730">
                        <w:rPr>
                          <w:rStyle w:val="Hyperlink"/>
                          <w:b/>
                        </w:rPr>
                        <w:t>(</w:t>
                      </w:r>
                      <w:hyperlink r:id="rId14" w:history="1">
                        <w:r w:rsidRPr="00320730">
                          <w:rPr>
                            <w:rStyle w:val="Hyperlink"/>
                            <w:b/>
                          </w:rPr>
                          <w:t>https://gcos.wmo.int/en/essential-climate-variables/fapar/</w:t>
                        </w:r>
                      </w:hyperlink>
                      <w:r w:rsidRPr="00320730">
                        <w:rPr>
                          <w:b/>
                          <w:i/>
                        </w:rPr>
                        <w:t>)</w:t>
                      </w:r>
                      <w:r w:rsidRPr="00BB1652">
                        <w:rPr>
                          <w:b/>
                          <w:i/>
                        </w:rPr>
                        <w:t xml:space="preserve"> </w:t>
                      </w:r>
                    </w:p>
                    <w:p w:rsidR="00A13594" w:rsidRDefault="00A13594" w:rsidP="00A13594">
                      <w:pPr>
                        <w:pStyle w:val="NoSpacing"/>
                        <w:numPr>
                          <w:ilvl w:val="0"/>
                          <w:numId w:val="1"/>
                        </w:numPr>
                        <w:rPr>
                          <w:b/>
                          <w:i/>
                        </w:rPr>
                      </w:pPr>
                      <w:r w:rsidRPr="00A95DE2">
                        <w:rPr>
                          <w:b/>
                          <w:i/>
                        </w:rPr>
                        <w:t>Copernicus Global Land Service (CGLS) data</w:t>
                      </w:r>
                      <w:r>
                        <w:rPr>
                          <w:b/>
                          <w:i/>
                        </w:rPr>
                        <w:t>:</w:t>
                      </w:r>
                      <w:r w:rsidRPr="00A95DE2">
                        <w:rPr>
                          <w:b/>
                          <w:i/>
                        </w:rPr>
                        <w:t xml:space="preserve"> (</w:t>
                      </w:r>
                      <w:hyperlink r:id="rId15" w:history="1">
                        <w:r w:rsidRPr="00621BEF">
                          <w:rPr>
                            <w:rStyle w:val="Hyperlink"/>
                            <w:b/>
                          </w:rPr>
                          <w:t>https://land.copernicus.eu/global/products/fapar</w:t>
                        </w:r>
                      </w:hyperlink>
                      <w:r w:rsidRPr="00A95DE2">
                        <w:rPr>
                          <w:b/>
                          <w:i/>
                        </w:rPr>
                        <w:t>)</w:t>
                      </w:r>
                    </w:p>
                    <w:p w:rsidR="00A13594" w:rsidRDefault="00A13594" w:rsidP="00A13594">
                      <w:pPr>
                        <w:pStyle w:val="NoSpacing"/>
                        <w:numPr>
                          <w:ilvl w:val="0"/>
                          <w:numId w:val="1"/>
                        </w:numPr>
                        <w:rPr>
                          <w:b/>
                          <w:i/>
                        </w:rPr>
                      </w:pPr>
                      <w:r w:rsidRPr="00A95DE2">
                        <w:rPr>
                          <w:b/>
                          <w:i/>
                        </w:rPr>
                        <w:t>Joint Research Centre (JRC) FAPAR project</w:t>
                      </w:r>
                      <w:r>
                        <w:rPr>
                          <w:b/>
                          <w:i/>
                        </w:rPr>
                        <w:t>:</w:t>
                      </w:r>
                      <w:r w:rsidRPr="00A95DE2">
                        <w:rPr>
                          <w:b/>
                          <w:i/>
                        </w:rPr>
                        <w:t xml:space="preserve"> (</w:t>
                      </w:r>
                      <w:hyperlink r:id="rId16" w:history="1">
                        <w:r w:rsidRPr="00621BEF">
                          <w:rPr>
                            <w:rStyle w:val="Hyperlink"/>
                            <w:b/>
                          </w:rPr>
                          <w:t>https://fapar.jrc.ec.europa.eu/Home.php</w:t>
                        </w:r>
                      </w:hyperlink>
                      <w:r w:rsidRPr="00A95DE2">
                        <w:rPr>
                          <w:b/>
                          <w:i/>
                        </w:rPr>
                        <w:t>)</w:t>
                      </w:r>
                    </w:p>
                    <w:p w:rsidR="00A13594" w:rsidRPr="00A95DE2" w:rsidRDefault="00A13594" w:rsidP="00A13594">
                      <w:pPr>
                        <w:pStyle w:val="NoSpacing"/>
                        <w:numPr>
                          <w:ilvl w:val="0"/>
                          <w:numId w:val="1"/>
                        </w:numPr>
                        <w:rPr>
                          <w:b/>
                          <w:i/>
                        </w:rPr>
                      </w:pPr>
                      <w:r>
                        <w:rPr>
                          <w:b/>
                          <w:i/>
                        </w:rPr>
                        <w:t xml:space="preserve">Sentinel Global Vegetation Index (FAPAR) description: </w:t>
                      </w:r>
                      <w:r w:rsidRPr="00621BEF">
                        <w:rPr>
                          <w:b/>
                          <w:i/>
                        </w:rPr>
                        <w:t>(</w:t>
                      </w:r>
                      <w:hyperlink r:id="rId17" w:history="1">
                        <w:r w:rsidRPr="00621BEF">
                          <w:rPr>
                            <w:rStyle w:val="Hyperlink"/>
                            <w:b/>
                          </w:rPr>
                          <w:t>https://sentinel.esa.int/web/sentinel/technical-guides/sentinel-3-olci/level-2/olci-global-vegetation-index-fapar</w:t>
                        </w:r>
                      </w:hyperlink>
                      <w:r w:rsidRPr="00621BEF">
                        <w:rPr>
                          <w:b/>
                          <w:i/>
                        </w:rPr>
                        <w:t>)</w:t>
                      </w:r>
                    </w:p>
                  </w:txbxContent>
                </v:textbox>
              </v:shape>
            </w:pict>
          </mc:Fallback>
        </mc:AlternateContent>
      </w:r>
      <w:r w:rsidRPr="007D1E52">
        <w:rPr>
          <w:b/>
          <w:lang w:val="en-IE"/>
        </w:rPr>
        <w:t xml:space="preserve">Figure 4.13. </w:t>
      </w:r>
      <w:r w:rsidRPr="007D1E52">
        <w:rPr>
          <w:lang w:val="en-IE"/>
        </w:rPr>
        <w:t xml:space="preserve"> Fraction of Absorbed Photosynthetically Active Radiation (FAPAR) during four 10-day periods in 2018 derived from the Copernicus Global Land Service (CGLS) datasets.  © European Union, Copernicus Land Monitoring Service 2020, European Environment Agency (EEA)</w:t>
      </w:r>
    </w:p>
    <w:p w:rsidR="00A13594" w:rsidRPr="007D1E52" w:rsidRDefault="00A13594" w:rsidP="00A13594">
      <w:pPr>
        <w:pStyle w:val="CSRISubSectionTitles"/>
        <w:rPr>
          <w:lang w:val="en-IE"/>
        </w:rPr>
      </w:pPr>
      <w:r w:rsidRPr="007D1E52">
        <w:rPr>
          <w:lang w:val="en-IE"/>
        </w:rPr>
        <w:t>Maintaining the Observations</w:t>
      </w:r>
    </w:p>
    <w:p w:rsidR="00A13594" w:rsidRPr="007D1E52" w:rsidRDefault="00A13594" w:rsidP="00A13594">
      <w:pPr>
        <w:pStyle w:val="CSRIText"/>
        <w:rPr>
          <w:lang w:val="en-IE"/>
        </w:rPr>
      </w:pPr>
      <w:r w:rsidRPr="007D1E52">
        <w:rPr>
          <w:lang w:val="en-IE"/>
        </w:rPr>
        <w:t>The CGLS is one of the Copernicus services that provide satellite information that may be used to monitor a number of vegetation parameters around the globe.  The global FAPAR dataset available is derived from several satellite sensors. Currently, the CGLS team is updating the dataset based on SENTINEL-3 OLCI and SLSTR sensors as new data sources.</w:t>
      </w:r>
    </w:p>
    <w:p w:rsidR="00A13594" w:rsidRPr="007D1E52" w:rsidRDefault="00A13594" w:rsidP="00A13594">
      <w:pPr>
        <w:pStyle w:val="CSRIText"/>
        <w:rPr>
          <w:lang w:val="en-IE"/>
        </w:rPr>
      </w:pPr>
      <w:r w:rsidRPr="007D1E52">
        <w:rPr>
          <w:lang w:val="en-IE"/>
        </w:rPr>
        <w:t xml:space="preserve">Comprehensive analysis of satellite-derived FAPAR spatio-temporal trends for Ireland needs to be carried out. A ground-based observation system should also be considered in order to validate and support the satellite observations.  </w:t>
      </w: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pPr>
    </w:p>
    <w:p w:rsidR="00A13594" w:rsidRPr="007D1E52" w:rsidRDefault="00A13594" w:rsidP="00A13594">
      <w:pPr>
        <w:pStyle w:val="CSRIText"/>
        <w:rPr>
          <w:lang w:val="en-IE"/>
        </w:rPr>
        <w:sectPr w:rsidR="00A13594" w:rsidRPr="007D1E52" w:rsidSect="00C123A1">
          <w:type w:val="continuous"/>
          <w:pgSz w:w="11906" w:h="16838"/>
          <w:pgMar w:top="1440" w:right="1440" w:bottom="1440" w:left="1440" w:header="708" w:footer="708" w:gutter="0"/>
          <w:pgNumType w:start="1"/>
          <w:cols w:num="2" w:space="708"/>
          <w:docGrid w:linePitch="360"/>
        </w:sectPr>
      </w:pPr>
    </w:p>
    <w:p w:rsidR="00585711" w:rsidRDefault="00585711" w:rsidP="00A13594"/>
    <w:sectPr w:rsidR="005857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005" w:rsidRDefault="00A13594">
    <w:pPr>
      <w:pStyle w:val="Header"/>
    </w:pPr>
    <w:r>
      <w:rPr>
        <w:noProof/>
        <w:lang w:eastAsia="en-IE"/>
      </w:rPr>
      <mc:AlternateContent>
        <mc:Choice Requires="wps">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050155" cy="3030220"/>
              <wp:effectExtent l="0" t="1104900" r="0" b="636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50155" cy="3030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13594" w:rsidRDefault="00A13594" w:rsidP="00A13594">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0;width:397.65pt;height:238.6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4L2iAIAAP0EAAAOAAAAZHJzL2Uyb0RvYy54bWysVMtu2zAQvBfoPxC8O3pESiwhcmAncS9p&#10;GyAucqZFymIrPkrSloyi/94lpThJeymK+kBTy9VwdmdWV9eD6NCBGcuVrHByFmPEZK0ol7sKf9ms&#10;Z3OMrCOSkk5JVuEjs/h68f7dVa9LlqpWdZQZBCDSlr2ucOucLqPI1i0TxJ4pzSQcNsoI4uDR7CJq&#10;SA/ooovSOL6IemWoNqpm1kL0djzEi4DfNKx2n5vGMoe6CgM3F1YT1q1fo8UVKXeG6JbXEw3yDywE&#10;4RIuPUHdEkfQ3vA/oASvjbKqcWe1EpFqGl6zUANUk8S/VfPYEs1CLdAcq09tsv8Ptv50eDCI0wqn&#10;GEkiQKINGxxaqQGlvju9tiUkPWpIcwOEQeVQqdX3qv5mkVQ3LZE7tjRG9S0jFNglgDWFQw2bowbg&#10;EPXod5SDEImHj17hj5dZf9O2/6govEL2ToXbhsYIZJR/bV7E/hfC0EAEjEDZ40lNT7+GYB7ncZLn&#10;GNVwdh6fx2ka9I5I6dG8WtpY94EpgfymwgbsEmDJ4d46z+4lxacDMsSn3SjvjyJJs3iVFrP1xfxy&#10;lq2zfFZcxvNZnBSr4iLOiux2/dODJlnZckqZvOeSPVstyf5Oysn0o0mC2VBf4SJP88DXqo7TNe86&#10;z82a3famM+hAvOfHXo21vEkzai8pxEnpRbub9o7wbtxHbxmHZkADnv9DI4J6XrBROjdsB0D0km4V&#10;PYKOPUxWhe33PTEMPLEXNwpIgREao8QTjO7SeElDEV6DzfBEjJ7kcHDdQ/c8WUETT3dHJ6MS+hWA&#10;RAcDC7WiPLhirHRKnvQbUUNv9BIcteZB3Beekw9hxkJ50/fAD/Hr55D18tVa/AIAAP//AwBQSwME&#10;FAAGAAgAAAAhACAmHPHcAAAABQEAAA8AAABkcnMvZG93bnJldi54bWxMj8FOwzAQRO9I/IO1SNyo&#10;QwuEpnEqRMShx7aIsxtvk4C9DrHTpHw9Cxe4rDSa0czbfD05K07Yh9aTgttZAgKp8qalWsHr/uXm&#10;EUSImoy2nlDBGQOsi8uLXGfGj7TF0y7WgksoZFpBE2OXSRmqBp0OM98hsXf0vdORZV9L0+uRy52V&#10;8yR5kE63xAuN7vC5wepjNzgF5ut47hbjuN9stuXwaduyxLd3pa6vpqcViIhT/AvDDz6jQ8FMBz+Q&#10;CcIq4Efi72UvXd4vQBwU3KXpHGSRy//0xTcAAAD//wMAUEsBAi0AFAAGAAgAAAAhALaDOJL+AAAA&#10;4QEAABMAAAAAAAAAAAAAAAAAAAAAAFtDb250ZW50X1R5cGVzXS54bWxQSwECLQAUAAYACAAAACEA&#10;OP0h/9YAAACUAQAACwAAAAAAAAAAAAAAAAAvAQAAX3JlbHMvLnJlbHNQSwECLQAUAAYACAAAACEA&#10;azuC9ogCAAD9BAAADgAAAAAAAAAAAAAAAAAuAgAAZHJzL2Uyb0RvYy54bWxQSwECLQAUAAYACAAA&#10;ACEAICYc8dwAAAAFAQAADwAAAAAAAAAAAAAAAADiBAAAZHJzL2Rvd25yZXYueG1sUEsFBgAAAAAE&#10;AAQA8wAAAOsFAAAAAA==&#10;" o:allowincell="f" filled="f" stroked="f">
              <v:stroke joinstyle="round"/>
              <o:lock v:ext="edit" shapetype="t"/>
              <v:textbox style="mso-fit-shape-to-text:t">
                <w:txbxContent>
                  <w:p w:rsidR="00A13594" w:rsidRDefault="00A13594" w:rsidP="00A13594">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005" w:rsidRDefault="00A13594">
    <w:pPr>
      <w:pStyle w:val="Header"/>
    </w:pPr>
    <w:r>
      <w:rPr>
        <w:noProof/>
        <w:lang w:eastAsia="en-IE"/>
      </w:rPr>
      <mc:AlternateContent>
        <mc:Choice Requires="wps">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050155" cy="3030220"/>
              <wp:effectExtent l="0" t="1104900" r="0" b="636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50155" cy="3030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13594" w:rsidRDefault="00A13594" w:rsidP="00A13594">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0;margin-top:0;width:397.65pt;height:23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S8iwIAAAQFAAAOAAAAZHJzL2Uyb0RvYy54bWysVMFymzAQvXem/6DR3UEQSAwTnLGTuJe0&#10;zUzcyVlGwqgFSZVkgyfTf+9K4DRpL51OfZClZXnat+8tV9dD16IDN1YoWeL4jGDEZaWYkLsSf9ms&#10;Z3OMrKOS0VZJXuIjt/h68f7dVa8LnqhGtYwbBCDSFr0uceOcLqLIVg3vqD1Tmkt4WCvTUQdHs4uY&#10;oT2gd22UEHIR9cowbVTFrYXo7fgQLwJ+XfPKfa5ryx1qSwy1ubCasG79Gi2uaLEzVDeimsqg/1BF&#10;R4WES1+gbqmjaG/EH1CdqIyyqnZnleoiVdei4oEDsInJb2weG6p54ALNsfqlTfb/wVafDg8GCQba&#10;YSRpBxJt+ODQSg0o9t3ptS0g6VFDmhsg7DM9U6vvVfXNIqluGip3fGmM6htOGVTnsaZw4LA5agAO&#10;UY9+xwQIEeCjV/jjZdbftO0/Kgav0L1T4bahNh0yyr82z4n/hTA0EEFFoOzxRU1ffgXBjGQkzjKM&#10;Knh2Ts5JkgS9I1p4NM9BG+s+cNUhvymxAbsEWHq4tw7IQ+opxacDMsSn3Sjvcx4nKVkl+Wx9Mb+c&#10;pes0m+WXZD4jcb7KL0iap7frHx40TotGMMblvZD8ZLU4/TspJ9OPJglmQ32J8yzJQr1WtYKtRdv6&#10;2qzZbW9agw7Ue37s1cjlTZpRe8mC/b1od9PeUdGO++htxaEZ0IDTf2hEUM8LNkrnhu0weWlyzlax&#10;I8jZw4CV2H7fU8PBGvvuRkFt4IfaqO4JJnhpvLKBi2/4ZniiRk+qOLj1oT0NWJDG09yxya+UfQWg&#10;roW5BcooC+YYCU/Jk4wjamiRXoKx1iJo7B041gnc/AFGLbCcPgt+ll+fQ9avj9fiJwAAAP//AwBQ&#10;SwMEFAAGAAgAAAAhACAmHPHcAAAABQEAAA8AAABkcnMvZG93bnJldi54bWxMj8FOwzAQRO9I/IO1&#10;SNyoQwuEpnEqRMShx7aIsxtvk4C9DrHTpHw9Cxe4rDSa0czbfD05K07Yh9aTgttZAgKp8qalWsHr&#10;/uXmEUSImoy2nlDBGQOsi8uLXGfGj7TF0y7WgksoZFpBE2OXSRmqBp0OM98hsXf0vdORZV9L0+uR&#10;y52V8yR5kE63xAuN7vC5wepjNzgF5ut47hbjuN9stuXwaduyxLd3pa6vpqcViIhT/AvDDz6jQ8FM&#10;Bz+QCcIq4Efi72UvXd4vQBwU3KXpHGSRy//0xTcAAAD//wMAUEsBAi0AFAAGAAgAAAAhALaDOJL+&#10;AAAA4QEAABMAAAAAAAAAAAAAAAAAAAAAAFtDb250ZW50X1R5cGVzXS54bWxQSwECLQAUAAYACAAA&#10;ACEAOP0h/9YAAACUAQAACwAAAAAAAAAAAAAAAAAvAQAAX3JlbHMvLnJlbHNQSwECLQAUAAYACAAA&#10;ACEAt1wEvIsCAAAEBQAADgAAAAAAAAAAAAAAAAAuAgAAZHJzL2Uyb0RvYy54bWxQSwECLQAUAAYA&#10;CAAAACEAICYc8dwAAAAFAQAADwAAAAAAAAAAAAAAAADlBAAAZHJzL2Rvd25yZXYueG1sUEsFBgAA&#10;AAAEAAQA8wAAAO4FAAAAAA==&#10;" o:allowincell="f" filled="f" stroked="f">
              <v:stroke joinstyle="round"/>
              <o:lock v:ext="edit" shapetype="t"/>
              <v:textbox style="mso-fit-shape-to-text:t">
                <w:txbxContent>
                  <w:p w:rsidR="00A13594" w:rsidRDefault="00A13594" w:rsidP="00A13594">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301E7"/>
    <w:multiLevelType w:val="hybridMultilevel"/>
    <w:tmpl w:val="B7FA6156"/>
    <w:lvl w:ilvl="0" w:tplc="A4D2758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94"/>
    <w:rsid w:val="00585711"/>
    <w:rsid w:val="00886377"/>
    <w:rsid w:val="00A135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8AA021-06E6-42C7-B9EA-555335C4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594"/>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SRIText">
    <w:name w:val="CSRI_Text"/>
    <w:basedOn w:val="Normal"/>
    <w:qFormat/>
    <w:rsid w:val="00886377"/>
    <w:pPr>
      <w:jc w:val="both"/>
    </w:pPr>
    <w:rPr>
      <w:lang w:val="en-GB"/>
    </w:rPr>
  </w:style>
  <w:style w:type="character" w:styleId="Hyperlink">
    <w:name w:val="Hyperlink"/>
    <w:basedOn w:val="DefaultParagraphFont"/>
    <w:uiPriority w:val="99"/>
    <w:unhideWhenUsed/>
    <w:rsid w:val="00A13594"/>
    <w:rPr>
      <w:color w:val="0563C1" w:themeColor="hyperlink"/>
      <w:u w:val="single"/>
    </w:rPr>
  </w:style>
  <w:style w:type="paragraph" w:styleId="Header">
    <w:name w:val="header"/>
    <w:basedOn w:val="Normal"/>
    <w:link w:val="HeaderChar"/>
    <w:unhideWhenUsed/>
    <w:rsid w:val="00A13594"/>
    <w:pPr>
      <w:tabs>
        <w:tab w:val="center" w:pos="4513"/>
        <w:tab w:val="right" w:pos="9026"/>
      </w:tabs>
    </w:pPr>
  </w:style>
  <w:style w:type="character" w:customStyle="1" w:styleId="HeaderChar">
    <w:name w:val="Header Char"/>
    <w:basedOn w:val="DefaultParagraphFont"/>
    <w:link w:val="Header"/>
    <w:rsid w:val="00A13594"/>
  </w:style>
  <w:style w:type="paragraph" w:styleId="NoSpacing">
    <w:name w:val="No Spacing"/>
    <w:uiPriority w:val="1"/>
    <w:qFormat/>
    <w:rsid w:val="00A13594"/>
    <w:pPr>
      <w:spacing w:after="0" w:line="240" w:lineRule="auto"/>
    </w:pPr>
    <w:rPr>
      <w:lang w:val="en-GB"/>
    </w:rPr>
  </w:style>
  <w:style w:type="paragraph" w:customStyle="1" w:styleId="Authors">
    <w:name w:val="Authors"/>
    <w:basedOn w:val="Normal"/>
    <w:qFormat/>
    <w:rsid w:val="00A13594"/>
    <w:pPr>
      <w:spacing w:after="120" w:line="480" w:lineRule="auto"/>
    </w:pPr>
    <w:rPr>
      <w:i/>
      <w:lang w:val="en-GB"/>
    </w:rPr>
  </w:style>
  <w:style w:type="paragraph" w:customStyle="1" w:styleId="CSRISubSectionTitles">
    <w:name w:val="CSRI_SubSectionTitles"/>
    <w:basedOn w:val="Normal"/>
    <w:qFormat/>
    <w:rsid w:val="00A13594"/>
    <w:pPr>
      <w:spacing w:after="120" w:line="259" w:lineRule="auto"/>
      <w:jc w:val="both"/>
    </w:pPr>
    <w:rPr>
      <w:b/>
      <w:color w:val="002060"/>
      <w:sz w:val="30"/>
      <w:szCs w:val="21"/>
      <w:lang w:val="en-GB"/>
    </w:rPr>
  </w:style>
  <w:style w:type="paragraph" w:customStyle="1" w:styleId="FiguresDescription">
    <w:name w:val="FiguresDescription"/>
    <w:basedOn w:val="Quote"/>
    <w:qFormat/>
    <w:rsid w:val="00A13594"/>
    <w:pPr>
      <w:spacing w:before="0" w:after="0" w:line="259" w:lineRule="auto"/>
      <w:ind w:left="0" w:right="0"/>
      <w:jc w:val="both"/>
    </w:pPr>
    <w:rPr>
      <w:sz w:val="20"/>
      <w:lang w:val="en-GB"/>
    </w:rPr>
  </w:style>
  <w:style w:type="paragraph" w:customStyle="1" w:styleId="CSRISectionTitles">
    <w:name w:val="CSRI_Section_Titles"/>
    <w:basedOn w:val="Normal"/>
    <w:link w:val="CSRISectionTitlesChar"/>
    <w:qFormat/>
    <w:rsid w:val="00A13594"/>
    <w:pPr>
      <w:spacing w:after="120" w:line="259" w:lineRule="auto"/>
    </w:pPr>
    <w:rPr>
      <w:sz w:val="56"/>
      <w:szCs w:val="56"/>
      <w:lang w:val="en-GB"/>
    </w:rPr>
  </w:style>
  <w:style w:type="paragraph" w:customStyle="1" w:styleId="VariableDescription">
    <w:name w:val="Variable Description"/>
    <w:basedOn w:val="CSRISectionTitles"/>
    <w:link w:val="VariableDescriptionChar"/>
    <w:qFormat/>
    <w:rsid w:val="00A13594"/>
    <w:pPr>
      <w:jc w:val="both"/>
    </w:pPr>
    <w:rPr>
      <w:b/>
      <w:color w:val="0070C0"/>
      <w:sz w:val="21"/>
      <w:szCs w:val="21"/>
    </w:rPr>
  </w:style>
  <w:style w:type="paragraph" w:customStyle="1" w:styleId="VariableFacts">
    <w:name w:val="VariableFacts"/>
    <w:link w:val="VariableFactsChar"/>
    <w:qFormat/>
    <w:rsid w:val="00A13594"/>
    <w:pPr>
      <w:spacing w:before="100" w:beforeAutospacing="1" w:after="120"/>
      <w:ind w:left="397"/>
      <w:jc w:val="both"/>
    </w:pPr>
    <w:rPr>
      <w:b/>
      <w:color w:val="385623" w:themeColor="accent6" w:themeShade="80"/>
      <w:sz w:val="21"/>
      <w:szCs w:val="30"/>
      <w:lang w:val="en-GB"/>
    </w:rPr>
  </w:style>
  <w:style w:type="character" w:customStyle="1" w:styleId="VariableFactsChar">
    <w:name w:val="VariableFacts Char"/>
    <w:basedOn w:val="DefaultParagraphFont"/>
    <w:link w:val="VariableFacts"/>
    <w:rsid w:val="00A13594"/>
    <w:rPr>
      <w:b/>
      <w:color w:val="385623" w:themeColor="accent6" w:themeShade="80"/>
      <w:sz w:val="21"/>
      <w:szCs w:val="30"/>
      <w:lang w:val="en-GB"/>
    </w:rPr>
  </w:style>
  <w:style w:type="character" w:customStyle="1" w:styleId="CSRISectionTitlesChar">
    <w:name w:val="CSRI_Section_Titles Char"/>
    <w:basedOn w:val="DefaultParagraphFont"/>
    <w:link w:val="CSRISectionTitles"/>
    <w:locked/>
    <w:rsid w:val="00A13594"/>
    <w:rPr>
      <w:sz w:val="56"/>
      <w:szCs w:val="56"/>
      <w:lang w:val="en-GB"/>
    </w:rPr>
  </w:style>
  <w:style w:type="character" w:customStyle="1" w:styleId="VariableDescriptionChar">
    <w:name w:val="Variable Description Char"/>
    <w:basedOn w:val="CSRISectionTitlesChar"/>
    <w:link w:val="VariableDescription"/>
    <w:rsid w:val="00A13594"/>
    <w:rPr>
      <w:b/>
      <w:color w:val="0070C0"/>
      <w:sz w:val="21"/>
      <w:szCs w:val="21"/>
      <w:lang w:val="en-GB"/>
    </w:rPr>
  </w:style>
  <w:style w:type="paragraph" w:styleId="Quote">
    <w:name w:val="Quote"/>
    <w:basedOn w:val="Normal"/>
    <w:next w:val="Normal"/>
    <w:link w:val="QuoteChar"/>
    <w:uiPriority w:val="29"/>
    <w:qFormat/>
    <w:rsid w:val="00A1359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13594"/>
    <w:rPr>
      <w:i/>
      <w:iCs/>
      <w:color w:val="404040" w:themeColor="text1" w:themeTint="BF"/>
    </w:rPr>
  </w:style>
  <w:style w:type="paragraph" w:styleId="NormalWeb">
    <w:name w:val="Normal (Web)"/>
    <w:basedOn w:val="Normal"/>
    <w:uiPriority w:val="99"/>
    <w:semiHidden/>
    <w:unhideWhenUsed/>
    <w:rsid w:val="00A13594"/>
    <w:pPr>
      <w:spacing w:before="100" w:beforeAutospacing="1" w:after="100" w:afterAutospacing="1"/>
    </w:pPr>
    <w:rPr>
      <w:rFonts w:ascii="Times New Roman" w:eastAsiaTheme="minorEastAsia"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sentinel.esa.int/web/sentinel/technical-guides/sentinel-3-olci/level-2/olci-global-vegetation-index-fapa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2.xml"/><Relationship Id="rId12" Type="http://schemas.openxmlformats.org/officeDocument/2006/relationships/hyperlink" Target="https://fapar.jrc.ec.europa.eu/Home.php" TargetMode="External"/><Relationship Id="rId17" Type="http://schemas.openxmlformats.org/officeDocument/2006/relationships/hyperlink" Target="https://sentinel.esa.int/web/sentinel/technical-guides/sentinel-3-olci/level-2/olci-global-vegetation-index-fapar" TargetMode="External"/><Relationship Id="rId2" Type="http://schemas.openxmlformats.org/officeDocument/2006/relationships/styles" Target="styles.xml"/><Relationship Id="rId16" Type="http://schemas.openxmlformats.org/officeDocument/2006/relationships/hyperlink" Target="https://fapar.jrc.ec.europa.eu/Home.php" TargetMode="Externa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hyperlink" Target="https://land.copernicus.eu/global/products/fapar" TargetMode="External"/><Relationship Id="rId5" Type="http://schemas.openxmlformats.org/officeDocument/2006/relationships/image" Target="media/image1.jpg"/><Relationship Id="rId15" Type="http://schemas.openxmlformats.org/officeDocument/2006/relationships/hyperlink" Target="https://land.copernicus.eu/global/products/fapar" TargetMode="External"/><Relationship Id="rId10" Type="http://schemas.openxmlformats.org/officeDocument/2006/relationships/hyperlink" Target="https://gcos.wmo.int/en/essential-climate-variables/fapa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cos.wmo.int/en/essential-climate-variables/fap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IT Services</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Camaro, Walther</dc:creator>
  <cp:keywords/>
  <dc:description/>
  <cp:lastModifiedBy>Camaro, Walther</cp:lastModifiedBy>
  <cp:revision>1</cp:revision>
  <dcterms:created xsi:type="dcterms:W3CDTF">2020-08-31T15:49:00Z</dcterms:created>
  <dcterms:modified xsi:type="dcterms:W3CDTF">2020-08-31T15:50:00Z</dcterms:modified>
</cp:coreProperties>
</file>