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Climb27</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30 June and 1 July 2027. The Festival for Business Growth.</w:t>
      </w:r>
    </w:p>
    <w:p>
      <w:r>
        <w:rPr>
          <w:rFonts w:ascii="Open Sans" w:hAnsi="Open Sans" w:cs="Open Sans" w:eastAsia="Open Sans"/>
          <w:color w:val="E9E9E9"/>
          <w:sz w:val="20"/>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27.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83906"/>
          <wp:docPr id="2" name="Picture 2" descr="Climb27 logo"/>
          <wp:cNvGraphicFramePr>
            <a:graphicFrameLocks noChangeAspect="1"/>
          </wp:cNvGraphicFramePr>
          <a:graphic>
            <a:graphicData uri="http://schemas.openxmlformats.org/drawingml/2006/picture">
              <pic:pic>
                <pic:nvPicPr>
                  <pic:cNvPr id="0" name="Climb27_reversed-dark_1024.png"/>
                  <pic:cNvPicPr/>
                </pic:nvPicPr>
                <pic:blipFill>
                  <a:blip r:embed="rId2"/>
                  <a:stretch>
                    <a:fillRect/>
                  </a:stretch>
                </pic:blipFill>
                <pic:spPr>
                  <a:xfrm>
                    <a:off x="0" y="0"/>
                    <a:ext cx="1872000" cy="383906"/>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proposal</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