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Group.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19922"/>
          <wp:docPr id="2" name="Picture 2" descr="ClimbGroup logo"/>
          <wp:cNvGraphicFramePr>
            <a:graphicFrameLocks noChangeAspect="1"/>
          </wp:cNvGraphicFramePr>
          <a:graphic>
            <a:graphicData uri="http://schemas.openxmlformats.org/drawingml/2006/picture">
              <pic:pic>
                <pic:nvPicPr>
                  <pic:cNvPr id="0" name="ClimbGroup_reversed-dark_1024.png"/>
                  <pic:cNvPicPr/>
                </pic:nvPicPr>
                <pic:blipFill>
                  <a:blip r:embed="rId2"/>
                  <a:stretch>
                    <a:fillRect/>
                  </a:stretch>
                </pic:blipFill>
                <pic:spPr>
                  <a:xfrm>
                    <a:off x="0" y="0"/>
                    <a:ext cx="1872000" cy="319922"/>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report</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