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80" w:after="400"/>
      </w:pPr>
      <w:r>
        <w:rPr>
          <w:color w:val="111111"/>
          <w:sz w:val="30"/>
        </w:rPr>
        <w:t>━━━━━━━</w:t>
      </w:r>
    </w:p>
    <w:p>
      <w:pPr>
        <w:pStyle w:val="Title"/>
        <w:spacing w:after="280"/>
      </w:pPr>
      <w:r>
        <w:t>Purchase Agreement and Consent Review Checklist</w:t>
      </w:r>
    </w:p>
    <w:p>
      <w:r>
        <w:rPr>
          <w:rFonts w:ascii="Arial" w:hAnsi="Arial"/>
          <w:b/>
          <w:color w:val="1D4ED8"/>
          <w:sz w:val="18"/>
        </w:rPr>
        <w:t>FICTIONAL COMPLETED EXAMPLE</w:t>
      </w:r>
      <w:r>
        <w:t xml:space="preserve">  ·  Canadian small-business acquisition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Track business issues, adviser review and transfer evidence for the definitive agreement. This checklist is not the agreement.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7C86E"/>
              <w:left w:val="single" w:sz="4" w:color="E7C86E"/>
              <w:bottom w:val="single" w:sz="4" w:color="E7C86E"/>
              <w:right w:val="single" w:sz="4" w:color="E7C86E"/>
              <w:insideH w:val="single" w:sz="4" w:color="E7C86E"/>
              <w:insideV w:val="single" w:sz="4" w:color="E7C86E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This completed example is fictional. It shows how a buyer might organize information; it is not evidence, legal advice, tax advice, a financing commitment or a document to sign.</w:t>
            </w:r>
          </w:p>
        </w:tc>
      </w:tr>
    </w:tbl>
    <w:p>
      <w:r>
        <w:br w:type="page"/>
      </w:r>
    </w:p>
    <w:p>
      <w:pPr>
        <w:pStyle w:val="Heading1"/>
      </w:pPr>
      <w:r>
        <w:t>Draft control and economics</w:t>
      </w:r>
    </w:p>
    <w:p>
      <w:pPr>
        <w:keepNext/>
      </w:pPr>
      <w:r>
        <w:t>Work from a dated version and reconcile the economics to the approved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Draft reviewed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Asset Purchase Agreement draft v3 dated 4 Nov 2026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Checksum or data-room reference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Price and adjustments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500,000; closing working-capital and debt adjustments to be confirmed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Reconcile to sources-and-uses and funds flow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Included assets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Equipment, inventory, assigned contracts, phone numbers and goodwill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 completeness pending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Excluded items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cash, corporate records and specified personal vehicle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Compare with asset schedule</w:t>
            </w:r>
          </w:p>
        </w:tc>
      </w:tr>
    </w:tbl>
    <w:p>
      <w:pPr>
        <w:pStyle w:val="Heading1"/>
      </w:pPr>
      <w:r>
        <w:t>Risk allocation</w:t>
      </w:r>
    </w:p>
    <w:p>
      <w:pPr>
        <w:keepNext/>
      </w:pPr>
      <w:r>
        <w:t>Record questions for counsel; do not paraphrase away the legal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Representations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Financial records, taxes, contracts, assets, compliance, employees and claims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and accountant review by topic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Indemnities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Survival, caps, baskets, exclusions and claim process remain under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advice required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Conditions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Financing, diligence, lease assignment and required approvals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Condition tracker must match agreement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Post-closing terms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transition support for 60 days; scope and hours to be scheduled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Attach detailed handover schedule</w:t>
            </w:r>
          </w:p>
        </w:tc>
      </w:tr>
    </w:tbl>
    <w:p>
      <w:pPr>
        <w:pStyle w:val="Heading1"/>
      </w:pPr>
      <w:r>
        <w:t>Consents and completion documents</w:t>
      </w:r>
    </w:p>
    <w:p>
      <w:pPr>
        <w:keepNext/>
      </w:pPr>
      <w:r>
        <w:t>A document is not complete until the right party approves or signs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Lease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Landlord consent requested; not received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landlord consent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Licences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Provincial contractor licence transfer path under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regulator guidance or new licence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Contracts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Top five customer contracts reviewed; two require consent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Executed consents or counsel-approved waiver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Tax allocation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Draft allocation under accountant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 memo and signed election if applicable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Resolve landlord consent condition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18 Nov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Executed consent or documented decision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 purchase price allocation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+ accountant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20 Nov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Final allocation schedule</w:t>
            </w:r>
          </w:p>
        </w:tc>
      </w:tr>
    </w:tbl>
    <w:p>
      <w:pPr>
        <w:pStyle w:val="Heading1"/>
      </w:pPr>
      <w:r>
        <w:t>Reference sources and review boundary</w:t>
      </w:r>
    </w:p>
    <w:p>
      <w:r>
        <w:t>The structure reflects common acquisition preparation topics described by public small-business guidance. The sources do not replace transaction-specific advice.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Buying a Business in Canada: https://www.bdc.ca/en/articles-tools/entrepreneur-toolkit/guides/buying-business-canada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When Buying a Business: https://www.bdc.ca/en/articles-tools/start-buy-business/buy-business/buying-business-conducting-due-diligence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>
      <w:headerReference r:id="rId13" w:type="default"/>
      <w:footerReference r:id="rId14" w:type="default"/>
      <w:pgSz w:h="15840" w:w="12240" w:orient="portrait"/>
      <w:pgMar w:bottom="936" w:top="936" w:left="1037" w:right="1037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jc w:val="left"/>
      <w:rPr>
        <w:color w:val="999999"/>
        <w:sz w:val="18"/>
        <w:szCs w:val="18"/>
      </w:rPr>
    </w:pPr>
    <w:r>
      <w:rPr>
        <w:rFonts w:ascii="Arial" w:hAnsi="Arial"/>
        <w:color w:val="777777"/>
        <w:sz w:val="14"/>
      </w:rPr>
      <w:t>Educational preparation material · confirm transaction-specific requirements with qualified advisers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rFonts w:ascii="Arial" w:hAnsi="Arial"/>
        <w:color w:val="858585"/>
        <w:sz w:val="15"/>
      </w:rPr>
      <w:t>Dwellings Transaction Room  ·  Purchase Agreement and Consent Review Checklist  ·  Completed example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100" w:lineRule="auto" w:before="240"/>
    </w:pPr>
    <w:rPr>
      <w:rFonts w:ascii="Arial" w:hAnsi="Arial"/>
      <w:b/>
      <w:color w:val="111111"/>
      <w:sz w:val="5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Purchase Agreement and Consent Review Checklist — Completed example</dc:title>
  <cp:lastModifiedBy>python-docx</cp:lastModifiedBy>
  <cp:revision>1</cp:revision>
  <dcterms:modified xsi:type="dcterms:W3CDTF">2026-09-16T04:32:24Z</dcterms:modified>
  <dc:subject>Dwellings Transaction Room acquisition preparation template</dc:subject>
  <dc:creator>Dwellings</dc:creator>
  <cp:keywords>business acquisition, due diligence, transaction preparation</cp:keywords>
</cp:coreProperties>
</file>