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680" w:after="400"/>
      </w:pPr>
      <w:r>
        <w:rPr>
          <w:color w:val="111111"/>
          <w:sz w:val="30"/>
        </w:rPr>
        <w:t>━━━━━━━</w:t>
      </w:r>
    </w:p>
    <w:p>
      <w:pPr>
        <w:pStyle w:val="Title"/>
        <w:spacing w:after="280"/>
      </w:pPr>
      <w:r>
        <w:t>Closing Checklist and Funds-Flow Review</w:t>
      </w:r>
    </w:p>
    <w:p>
      <w:r>
        <w:rPr>
          <w:rFonts w:ascii="Arial" w:hAnsi="Arial"/>
          <w:b/>
          <w:color w:val="1D4ED8"/>
          <w:sz w:val="18"/>
        </w:rPr>
        <w:t>EDITABLE BLANK TEMPLATE</w:t>
      </w:r>
      <w:r>
        <w:t xml:space="preserve">  ·  Canadian small-business acquisition preparation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Deal</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deal or target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Prepared</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date]</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Buyer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[Enter buyer legal name]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Status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[Draft / review / approved]</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Jurisdiction</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[Country and province/state]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Currency</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[Currency]</w:t>
            </w:r>
          </w:p>
        </w:tc>
      </w:tr>
      <w:tr>
        <w:tc>
          <w:tcPr>
            <w:tcW w:type="dxa" w:w="1368"/>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Owner</w:t>
            </w:r>
          </w:p>
        </w:tc>
        <w:tc>
          <w:tcPr>
            <w:tcW w:type="dxa" w:w="324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[Name and role]</w:t>
            </w:r>
          </w:p>
        </w:tc>
        <w:tc>
          <w:tcPr>
            <w:tcW w:type="dxa" w:w="1512"/>
            <w:tcBorders>
              <w:top w:val="single" w:sz="4" w:color="D1D5DB"/>
              <w:left w:val="single" w:sz="4" w:color="D1D5DB"/>
              <w:bottom w:val="single" w:sz="4" w:color="D1D5DB"/>
              <w:right w:val="single" w:sz="4" w:color="D1D5DB"/>
              <w:insideH w:val="single" w:sz="4" w:color="D1D5DB"/>
              <w:insideV w:val="single" w:sz="4" w:color="D1D5DB"/>
            </w:tcBorders>
            <w:vAlign w:val="center"/>
            <w:shd w:fill="F3F4F6"/>
          </w:tcPr>
          <w:p>
            <w:pPr>
              <w:spacing w:after="0" w:before="0"/>
            </w:pPr>
            <w:r/>
            <w:r>
              <w:rPr>
                <w:rFonts w:ascii="Arial" w:hAnsi="Arial"/>
                <w:b/>
                <w:i w:val="0"/>
                <w:sz w:val="18"/>
              </w:rPr>
              <w:t>Advisers</w:t>
            </w:r>
          </w:p>
        </w:tc>
        <w:tc>
          <w:tcPr>
            <w:tcW w:type="dxa" w:w="367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8"/>
              </w:rPr>
              <w:t>[List required advisers]</w:t>
            </w:r>
          </w:p>
        </w:tc>
      </w:tr>
    </w:tbl>
    <w:p>
      <w:pPr>
        <w:spacing w:before="240"/>
      </w:pPr>
      <w:r>
        <w:rPr>
          <w:b/>
          <w:color w:val="0D1B2A"/>
        </w:rPr>
        <w:t xml:space="preserve">Purpose  </w:t>
      </w:r>
      <w:r>
        <w:t>Coordinate final documents, approvals, payment verification and operational handover with the lawyer and lender.</w:t>
      </w:r>
    </w:p>
    <w:tbl>
      <w:tblPr>
        <w:tblW w:type="auto" w:w="0"/>
        <w:tblLook w:firstColumn="1" w:firstRow="1" w:lastColumn="0" w:lastRow="0" w:noHBand="0" w:noVBand="1" w:val="04A0"/>
      </w:tblPr>
      <w:tblGrid>
        <w:gridCol w:w="10166"/>
      </w:tblGrid>
      <w:tr>
        <w:tc>
          <w:tcPr>
            <w:tcW w:type="dxa" w:w="10166"/>
            <w:shd w:fill="FFF4D6"/>
            <w:tcBorders>
              <w:top w:val="single" w:sz="4" w:color="E7C86E"/>
              <w:left w:val="single" w:sz="4" w:color="E7C86E"/>
              <w:bottom w:val="single" w:sz="4" w:color="E7C86E"/>
              <w:right w:val="single" w:sz="4" w:color="E7C86E"/>
              <w:insideH w:val="single" w:sz="4" w:color="E7C86E"/>
              <w:insideV w:val="single" w:sz="4" w:color="E7C86E"/>
            </w:tcBorders>
            <w:vAlign w:val="center"/>
          </w:tcPr>
          <w:p>
            <w:pPr>
              <w:spacing w:after="0" w:before="0"/>
            </w:pPr>
            <w:r/>
            <w:r>
              <w:rPr>
                <w:rFonts w:ascii="Arial" w:hAnsi="Arial"/>
                <w:b w:val="0"/>
                <w:i w:val="0"/>
                <w:sz w:val="17"/>
              </w:rPr>
              <w:t>Complete the blue bracketed fields. Attach evidence where requested. Do not sign, submit or rely on this preparation brief until the appropriate lawyer, accountant, lender or other adviser has reviewed the transaction-specific information.</w:t>
            </w:r>
          </w:p>
        </w:tc>
      </w:tr>
    </w:tbl>
    <w:p>
      <w:r>
        <w:br w:type="page"/>
      </w:r>
    </w:p>
    <w:p>
      <w:pPr>
        <w:pStyle w:val="Heading1"/>
      </w:pPr>
      <w:r>
        <w:t>Readiness and authority</w:t>
      </w:r>
    </w:p>
    <w:p>
      <w:pPr>
        <w:keepNext/>
      </w:pPr>
      <w:r>
        <w:t>Only the responsible professional should confirm legal completion.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Closing date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scheduled date and time zone]</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Signing authority</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authority documents]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Conditions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conditions and status]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Final documents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document set/version]</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bl>
    <w:p>
      <w:pPr>
        <w:pStyle w:val="Heading1"/>
      </w:pPr>
      <w:r>
        <w:t>Funds flow and adjustments</w:t>
      </w:r>
    </w:p>
    <w:p>
      <w:pPr>
        <w:keepNext/>
      </w:pPr>
      <w:r>
        <w:t>Reconcile each amount to the agreement, lender instructions and approved sources and uses.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Purchase price</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amount]</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[Source]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Adjustments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adjustments]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[Reviewer]</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Debt payouts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debt and payees]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Payment instructions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verification protocol]</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bl>
    <w:p>
      <w:pPr>
        <w:pStyle w:val="Heading1"/>
      </w:pPr>
      <w:r>
        <w:t>Handover and completion evidence</w:t>
      </w:r>
    </w:p>
    <w:p>
      <w:pPr>
        <w:keepNext/>
      </w:pPr>
      <w:r>
        <w:t>Assign each access item and retain proof of completion.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Field</w:t>
            </w:r>
          </w:p>
        </w:tc>
        <w:tc>
          <w:tcPr>
            <w:tcW w:type="dxa" w:w="46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Entry</w:t>
            </w:r>
          </w:p>
        </w:tc>
        <w:tc>
          <w:tcPr>
            <w:tcW w:type="dxa" w:w="30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7"/>
              </w:rPr>
              <w:t>Evidence / reviewer note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Physical access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handover items]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Systems and records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[List systems]</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People and communications</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[Enter approved communication plan]</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[Evidence]</w:t>
            </w:r>
          </w:p>
        </w:tc>
      </w:tr>
      <w:tr>
        <w:tc>
          <w:tcPr>
            <w:tcW w:type="dxa" w:w="2160"/>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i w:val="0"/>
                <w:sz w:val="17"/>
              </w:rPr>
              <w:t>Completion confirmation</w:t>
            </w:r>
          </w:p>
        </w:tc>
        <w:tc>
          <w:tcPr>
            <w:tcW w:type="dxa" w:w="46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7"/>
              </w:rPr>
              <w:t>[Name responsible professional]</w:t>
            </w:r>
          </w:p>
        </w:tc>
        <w:tc>
          <w:tcPr>
            <w:tcW w:type="dxa" w:w="30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[Required evidence]</w:t>
            </w:r>
          </w:p>
        </w:tc>
      </w:tr>
    </w:tbl>
    <w:p>
      <w:pPr>
        <w:pStyle w:val="Heading1"/>
      </w:pPr>
      <w:r>
        <w:t>Open items and decisions</w:t>
      </w:r>
    </w:p>
    <w:tbl>
      <w:tblPr>
        <w:tblW w:type="auto" w:w="0"/>
        <w:tblLook w:firstColumn="1" w:firstRow="1" w:lastColumn="0" w:lastRow="0" w:noHBand="0" w:noVBand="1" w:val="04A0"/>
      </w:tblPr>
      <w:tblGrid>
        <w:gridCol w:w="2033"/>
        <w:gridCol w:w="2033"/>
        <w:gridCol w:w="2033"/>
        <w:gridCol w:w="2033"/>
        <w:gridCol w:w="2033"/>
      </w:tblGrid>
      <w:tr>
        <w:trPr>
          <w:tblHeader w:val="true"/>
        </w:trPr>
        <w:tc>
          <w:tcPr>
            <w:tcW w:type="dxa" w:w="2952"/>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Item</w:t>
            </w:r>
          </w:p>
        </w:tc>
        <w:tc>
          <w:tcPr>
            <w:tcW w:type="dxa" w:w="165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Owner</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Due</w:t>
            </w:r>
          </w:p>
        </w:tc>
        <w:tc>
          <w:tcPr>
            <w:tcW w:type="dxa" w:w="1296"/>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Status</w:t>
            </w:r>
          </w:p>
        </w:tc>
        <w:tc>
          <w:tcPr>
            <w:tcW w:type="dxa" w:w="2880"/>
            <w:shd w:fill="0D1B2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before="0"/>
            </w:pPr>
            <w:r/>
            <w:r>
              <w:rPr>
                <w:rFonts w:ascii="Arial" w:hAnsi="Arial"/>
                <w:b/>
                <w:i w:val="0"/>
                <w:color w:val="FFFFFF"/>
                <w:sz w:val="16"/>
              </w:rPr>
              <w:t>Decision /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r>
        <w:tc>
          <w:tcPr>
            <w:tcW w:type="dxa" w:w="2952"/>
            <w:tcBorders>
              <w:top w:val="single" w:sz="4" w:color="D1D5DB"/>
              <w:left w:val="single" w:sz="4" w:color="D1D5DB"/>
              <w:bottom w:val="single" w:sz="4" w:color="D1D5DB"/>
              <w:right w:val="single" w:sz="4" w:color="D1D5DB"/>
              <w:insideH w:val="single" w:sz="4" w:color="D1D5DB"/>
              <w:insideV w:val="single" w:sz="4" w:color="D1D5DB"/>
            </w:tcBorders>
            <w:vAlign w:val="center"/>
          </w:tcPr>
          <w:p>
            <w:pPr>
              <w:spacing w:after="0" w:before="0"/>
            </w:pPr>
            <w:r/>
            <w:r>
              <w:rPr>
                <w:rFonts w:ascii="Arial" w:hAnsi="Arial"/>
                <w:b w:val="0"/>
                <w:i w:val="0"/>
                <w:color w:val="1D4ED8"/>
                <w:sz w:val="16"/>
              </w:rPr>
              <w:t>[Describe open item]</w:t>
            </w:r>
          </w:p>
        </w:tc>
        <w:tc>
          <w:tcPr>
            <w:tcW w:type="dxa" w:w="165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[Owner]</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[Date]</w:t>
            </w:r>
          </w:p>
        </w:tc>
        <w:tc>
          <w:tcPr>
            <w:tcW w:type="dxa" w:w="1296"/>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[Status]</w:t>
            </w:r>
          </w:p>
        </w:tc>
        <w:tc>
          <w:tcPr>
            <w:tcW w:type="dxa" w:w="2880"/>
            <w:tcBorders>
              <w:top w:val="single" w:sz="4" w:color="D1D5DB"/>
              <w:left w:val="single" w:sz="4" w:color="D1D5DB"/>
              <w:bottom w:val="single" w:sz="4" w:color="D1D5DB"/>
              <w:right w:val="single" w:sz="4" w:color="D1D5DB"/>
              <w:insideH w:val="single" w:sz="4" w:color="D1D5DB"/>
              <w:insideV w:val="single" w:sz="4" w:color="D1D5DB"/>
            </w:tcBorders>
            <w:vAlign w:val="center"/>
            <w:shd w:fill="EAF2FF"/>
          </w:tcPr>
          <w:p>
            <w:pPr>
              <w:spacing w:after="0" w:before="0"/>
            </w:pPr>
            <w:r/>
            <w:r>
              <w:rPr>
                <w:rFonts w:ascii="Arial" w:hAnsi="Arial"/>
                <w:b w:val="0"/>
                <w:i w:val="0"/>
                <w:color w:val="1D4ED8"/>
                <w:sz w:val="16"/>
              </w:rPr>
              <w:t>[Decision or completion evidence]</w:t>
            </w:r>
          </w:p>
        </w:tc>
      </w:tr>
    </w:tbl>
    <w:p>
      <w:pPr>
        <w:pStyle w:val="Heading1"/>
      </w:pPr>
      <w:r>
        <w:t>Reference sources and review boundary</w:t>
      </w:r>
    </w:p>
    <w:p>
      <w:r>
        <w:t>The structure reflects common acquisition preparation topics described by public small-business guidance. The sources do not replace transaction-specific advice.</w:t>
      </w:r>
    </w:p>
    <w:p>
      <w:pPr>
        <w:spacing w:after="20"/>
        <w:ind w:left="259" w:hanging="173"/>
      </w:pPr>
      <w:r>
        <w:rPr>
          <w:color w:val="4B5563"/>
          <w:sz w:val="14"/>
        </w:rPr>
        <w:t>•  BDC Buying a Business in Canada: https://www.bdc.ca/en/articles-tools/entrepreneur-toolkit/guides/buying-business-canada</w:t>
      </w:r>
    </w:p>
    <w:p>
      <w:pPr>
        <w:spacing w:after="20"/>
        <w:ind w:left="259" w:hanging="173"/>
      </w:pPr>
      <w:r>
        <w:rPr>
          <w:color w:val="4B5563"/>
          <w:sz w:val="14"/>
        </w:rPr>
        <w:t>•  BDC Due Diligence When Buying a Business: https://www.bdc.ca/en/articles-tools/start-buy-business/buy-business/buying-business-conducting-due-diligence</w:t>
      </w:r>
    </w:p>
    <w:p>
      <w:pPr>
        <w:spacing w:after="20"/>
        <w:ind w:left="259" w:hanging="173"/>
      </w:pPr>
      <w:r>
        <w:rPr>
          <w:color w:val="4B5563"/>
          <w:sz w:val="14"/>
        </w:rPr>
        <w:t>•  Canada Revenue Agency Buying a Business: https://www.canada.ca/en/revenue-agency/services/tax/businesses/topics/business-registration/maintain-business/buying-business.html</w:t>
      </w:r>
    </w:p>
    <w:sectPr>
      <w:headerReference r:id="rId13" w:type="default"/>
      <w:footerReference r:id="rId14" w:type="default"/>
      <w:pgSz w:h="15840" w:w="12240" w:orient="portrait"/>
      <w:pgMar w:bottom="936" w:top="936" w:left="1037" w:right="1037"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left"/>
      <w:rPr>
        <w:color w:val="999999"/>
        <w:sz w:val="18"/>
        <w:szCs w:val="18"/>
      </w:rPr>
    </w:pPr>
    <w:r>
      <w:rPr>
        <w:rFonts w:ascii="Arial" w:hAnsi="Arial"/>
        <w:color w:val="777777"/>
        <w:sz w:val="14"/>
      </w:rPr>
      <w:t>Educational preparation material · confirm transaction-specific requirements with qualified advisers</w:t>
    </w:r>
    <w:r>
      <w:t xml:space="preserve">          </w:t>
    </w:r>
    <w:r>
      <w:fldChar w:fldCharType="begin"/>
      <w:instrText xml:space="preserve">PAGE</w:instrText>
      <w:fldChar w:fldCharType="separate"/>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rFonts w:ascii="Arial" w:hAnsi="Arial"/>
        <w:color w:val="858585"/>
        <w:sz w:val="15"/>
      </w:rPr>
      <w:t>Dwellings Transaction Room  ·  Closing Checklist and Funds-Flow Review  ·  Blank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4" w:lineRule="auto"/>
    </w:pPr>
    <w:rPr>
      <w:rFonts w:ascii="Arial" w:hAnsi="Arial"/>
      <w:color w:val="111827"/>
      <w:sz w:val="19"/>
    </w:rPr>
  </w:style>
  <w:style w:type="paragraph" w:styleId="Heading1">
    <w:name w:val="heading 1"/>
    <w:basedOn w:val="Normal"/>
    <w:next w:val="Normal"/>
    <w:pPr>
      <w:keepNext/>
      <w:keepLines w:val="1"/>
      <w:spacing w:after="100" w:before="240" w:lineRule="auto"/>
    </w:pPr>
    <w:rPr>
      <w:rFonts w:ascii="Arial" w:hAnsi="Arial"/>
      <w:b/>
      <w:color w:val="0D1B2A"/>
      <w:sz w:val="34"/>
      <w:szCs w:val="40"/>
    </w:rPr>
  </w:style>
  <w:style w:type="paragraph" w:styleId="Heading2">
    <w:name w:val="heading 2"/>
    <w:basedOn w:val="Normal"/>
    <w:next w:val="Normal"/>
    <w:pPr>
      <w:keepNext/>
      <w:keepLines w:val="1"/>
      <w:spacing w:after="100" w:before="240" w:lineRule="auto"/>
    </w:pPr>
    <w:rPr>
      <w:rFonts w:ascii="Arial" w:hAnsi="Arial"/>
      <w:b/>
      <w:color w:val="0D1B2A"/>
      <w:sz w:val="24"/>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100" w:lineRule="auto" w:before="240"/>
    </w:pPr>
    <w:rPr>
      <w:rFonts w:ascii="Arial" w:hAnsi="Arial"/>
      <w:b/>
      <w:color w:val="111111"/>
      <w:sz w:val="58"/>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Closing Checklist and Funds-Flow Review — Blank template</dc:title>
  <cp:lastModifiedBy>python-docx</cp:lastModifiedBy>
  <cp:revision>1</cp:revision>
  <dcterms:modified xsi:type="dcterms:W3CDTF">2026-09-16T04:32:24Z</dcterms:modified>
  <dc:subject>Dwellings Transaction Room acquisition preparation template</dc:subject>
  <dc:creator>Dwellings</dc:creator>
  <cp:keywords>business acquisition, due diligence, transaction preparation</cp:keywords>
</cp:coreProperties>
</file>