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680" w:after="400"/>
      </w:pPr>
      <w:r>
        <w:rPr>
          <w:color w:val="111111"/>
          <w:sz w:val="30"/>
        </w:rPr>
        <w:t>━━━━━━━</w:t>
      </w:r>
    </w:p>
    <w:p>
      <w:pPr>
        <w:pStyle w:val="Title"/>
        <w:spacing w:after="280"/>
      </w:pPr>
      <w:r>
        <w:t>Deal Brief and Buyer Criteria</w:t>
      </w:r>
    </w:p>
    <w:p>
      <w:r>
        <w:rPr>
          <w:rFonts w:ascii="Arial" w:hAnsi="Arial"/>
          <w:b/>
          <w:color w:val="1D4ED8"/>
          <w:sz w:val="18"/>
        </w:rPr>
        <w:t>FICTIONAL COMPLETED EXAMPLE</w:t>
      </w:r>
      <w:r>
        <w:t xml:space="preserve">  ·  Canadian small-business acquisition preparation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Deal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Harbour Services Ltd. (fictional)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Prepared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15 September 2026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Buyer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North Shore Acquisition Co. (fictional)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Working draft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Jurisdiction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British Columbia, Canada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Currency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CAD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Avery Chen, Buyer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Advisers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Legal and accounting review pending</w:t>
            </w:r>
          </w:p>
        </w:tc>
      </w:tr>
    </w:tbl>
    <w:p>
      <w:pPr>
        <w:spacing w:before="240"/>
      </w:pPr>
      <w:r>
        <w:rPr>
          <w:b/>
          <w:color w:val="0D1B2A"/>
        </w:rPr>
        <w:t xml:space="preserve">Purpose  </w:t>
      </w:r>
      <w:r>
        <w:t>Organize the opportunity, define the buyer’s limits and decide whether the available facts justify further diligence.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Borders>
              <w:top w:val="single" w:sz="4" w:color="E7C86E"/>
              <w:left w:val="single" w:sz="4" w:color="E7C86E"/>
              <w:bottom w:val="single" w:sz="4" w:color="E7C86E"/>
              <w:right w:val="single" w:sz="4" w:color="E7C86E"/>
              <w:insideH w:val="single" w:sz="4" w:color="E7C86E"/>
              <w:insideV w:val="single" w:sz="4" w:color="E7C86E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This completed example is fictional. It shows how a buyer might organize information; it is not evidence, legal advice, tax advice, a financing commitment or a document to sign.</w:t>
            </w:r>
          </w:p>
        </w:tc>
      </w:tr>
    </w:tbl>
    <w:p>
      <w:r>
        <w:br w:type="page"/>
      </w:r>
    </w:p>
    <w:p>
      <w:pPr>
        <w:pStyle w:val="Heading1"/>
      </w:pPr>
      <w:r>
        <w:t>Opportunity summary</w:t>
      </w:r>
    </w:p>
    <w:p>
      <w:pPr>
        <w:keepNext/>
      </w:pPr>
      <w:r>
        <w:t>Record facts from the source before interpreting them.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Source and contact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Broker package received 8 Sep 2026; broker Jordan Lee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Broker package v1 in data room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Business and location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Commercial HVAC maintenance; Lower Mainland, BC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Seller description; not yet independently verified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Proposed transaction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Asset purchase; equipment, contracts and goodwill; inventory treatment open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Counsel to confirm structure and transferable assets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Indicative price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CAD 500,000 before fees and closing adjustments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Broker package; no valuation opinion obtained</w:t>
            </w:r>
          </w:p>
        </w:tc>
      </w:tr>
    </w:tbl>
    <w:p>
      <w:pPr>
        <w:pStyle w:val="Heading1"/>
      </w:pPr>
      <w:r>
        <w:t>Buyer criteria</w:t>
      </w:r>
    </w:p>
    <w:p>
      <w:pPr>
        <w:keepNext/>
      </w:pPr>
      <w:r>
        <w:t>Use criteria that can be tested with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Buyer role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Full-time owner-operator; buyer expects to lead sales and finance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Buyer resume and capacity review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Investment limit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Up to CAD 650,000 total uses; at least CAD 60,000 opening reserve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Funding remains unapproved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Required return and cash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Target debt service coverage above 1.35x after normalized manager pay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Test in funding model; lender definition may differ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Hard limits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No unresolved licence transfer; no single customer above 25% without a mitigation plan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Contract and licence schedules required</w:t>
            </w:r>
          </w:p>
        </w:tc>
      </w:tr>
    </w:tbl>
    <w:p>
      <w:pPr>
        <w:pStyle w:val="Heading1"/>
      </w:pPr>
      <w:r>
        <w:t>Initial facts and gaps</w:t>
      </w:r>
    </w:p>
    <w:p>
      <w:pPr>
        <w:keepNext/>
      </w:pPr>
      <w:r>
        <w:t>Separate stated facts from questions that still need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Stated strengths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Recurring service agreements; established technician team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Customer schedule and employee roster needed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Known gaps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Renewal dates, owner duties, equipment condition and working-capital needs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Request through evidence register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Preliminary decision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Proceed to NDA and limited initial diligence; no offer authorization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Buyer approval dated 15 Sep 2026</w:t>
            </w:r>
          </w:p>
        </w:tc>
      </w:tr>
    </w:tbl>
    <w:p>
      <w:pPr>
        <w:pStyle w:val="Heading1"/>
      </w:pPr>
      <w:r>
        <w:t>Open items and decisions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952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165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12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Due</w:t>
            </w:r>
          </w:p>
        </w:tc>
        <w:tc>
          <w:tcPr>
            <w:tcW w:type="dxa" w:w="12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28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Decision / completion evidence</w:t>
            </w:r>
          </w:p>
        </w:tc>
      </w:tr>
      <w:tr>
        <w:tc>
          <w:tcPr>
            <w:tcW w:type="dxa" w:w="29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Obtain customer concentration and contract schedule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Buyer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22 Sep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Open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Reviewed schedule and top-customer renewal terms</w:t>
            </w:r>
          </w:p>
        </w:tc>
      </w:tr>
      <w:tr>
        <w:tc>
          <w:tcPr>
            <w:tcW w:type="dxa" w:w="29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Confirm licence transfer path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Counsel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29 Sep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Open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Written advice and regulator requirements</w:t>
            </w:r>
          </w:p>
        </w:tc>
      </w:tr>
    </w:tbl>
    <w:p>
      <w:pPr>
        <w:pStyle w:val="Heading1"/>
      </w:pPr>
      <w:r>
        <w:t>Reference sources and review boundary</w:t>
      </w:r>
    </w:p>
    <w:p>
      <w:r>
        <w:t>The structure reflects common acquisition preparation topics described by public small-business guidance. The sources do not replace transaction-specific advice.</w:t>
      </w:r>
    </w:p>
    <w:p>
      <w:pPr>
        <w:spacing w:after="20"/>
        <w:ind w:left="259" w:hanging="173"/>
      </w:pPr>
      <w:r>
        <w:rPr>
          <w:color w:val="4B5563"/>
          <w:sz w:val="14"/>
        </w:rPr>
        <w:t>•  BDC Buying a Business in Canada: https://www.bdc.ca/en/articles-tools/entrepreneur-toolkit/guides/buying-business-canada</w:t>
      </w:r>
    </w:p>
    <w:p>
      <w:pPr>
        <w:spacing w:after="20"/>
        <w:ind w:left="259" w:hanging="173"/>
      </w:pPr>
      <w:r>
        <w:rPr>
          <w:color w:val="4B5563"/>
          <w:sz w:val="14"/>
        </w:rPr>
        <w:t>•  BDC Due Diligence When Buying a Business: https://www.bdc.ca/en/articles-tools/start-buy-business/buy-business/buying-business-conducting-due-diligence</w:t>
      </w:r>
    </w:p>
    <w:p>
      <w:pPr>
        <w:spacing w:after="20"/>
        <w:ind w:left="259" w:hanging="173"/>
      </w:pPr>
      <w:r>
        <w:rPr>
          <w:color w:val="4B5563"/>
          <w:sz w:val="14"/>
        </w:rPr>
        <w:t>•  Canada Revenue Agency Buying a Business: https://www.canada.ca/en/revenue-agency/services/tax/businesses/topics/business-registration/maintain-business/buying-business.html</w:t>
      </w:r>
    </w:p>
    <w:sectPr>
      <w:headerReference r:id="rId13" w:type="default"/>
      <w:footerReference r:id="rId14" w:type="default"/>
      <w:pgSz w:h="15840" w:w="12240" w:orient="portrait"/>
      <w:pgMar w:bottom="936" w:top="936" w:left="1037" w:right="1037" w:header="360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tabs>
        <w:tab w:val="right" w:leader="none" w:pos="9214"/>
      </w:tabs>
      <w:jc w:val="left"/>
      <w:rPr>
        <w:color w:val="999999"/>
        <w:sz w:val="18"/>
        <w:szCs w:val="18"/>
      </w:rPr>
    </w:pPr>
    <w:r>
      <w:rPr>
        <w:rFonts w:ascii="Arial" w:hAnsi="Arial"/>
        <w:color w:val="777777"/>
        <w:sz w:val="14"/>
      </w:rPr>
      <w:t>Educational preparation material · confirm transaction-specific requirements with qualified advisers</w:t>
    </w:r>
    <w:r>
      <w:t xml:space="preserve">        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jc w:val="right"/>
      <w:rPr>
        <w:color w:val="999999"/>
        <w:sz w:val="24"/>
        <w:szCs w:val="24"/>
      </w:rPr>
    </w:pPr>
    <w:r>
      <w:rPr>
        <w:rFonts w:ascii="Arial" w:hAnsi="Arial"/>
        <w:color w:val="858585"/>
        <w:sz w:val="15"/>
      </w:rPr>
      <w:t>Dwellings Transaction Room  ·  Deal Brief and Buyer Criteria  ·  Completed example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264" w:lineRule="auto"/>
    </w:pPr>
    <w:rPr>
      <w:rFonts w:ascii="Arial" w:hAnsi="Arial"/>
      <w:color w:val="111827"/>
      <w:sz w:val="19"/>
    </w:rPr>
  </w:style>
  <w:style w:type="paragraph" w:styleId="Heading1">
    <w:name w:val="heading 1"/>
    <w:basedOn w:val="Normal"/>
    <w:next w:val="Normal"/>
    <w:pPr>
      <w:keepNext/>
      <w:keepLines w:val="1"/>
      <w:spacing w:after="100" w:before="240" w:lineRule="auto"/>
    </w:pPr>
    <w:rPr>
      <w:rFonts w:ascii="Arial" w:hAnsi="Arial"/>
      <w:b/>
      <w:color w:val="0D1B2A"/>
      <w:sz w:val="34"/>
      <w:szCs w:val="40"/>
    </w:rPr>
  </w:style>
  <w:style w:type="paragraph" w:styleId="Heading2">
    <w:name w:val="heading 2"/>
    <w:basedOn w:val="Normal"/>
    <w:next w:val="Normal"/>
    <w:pPr>
      <w:keepNext/>
      <w:keepLines w:val="1"/>
      <w:spacing w:after="100" w:before="240" w:lineRule="auto"/>
    </w:pPr>
    <w:rPr>
      <w:rFonts w:ascii="Arial" w:hAnsi="Arial"/>
      <w:b/>
      <w:color w:val="0D1B2A"/>
      <w:sz w:val="24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/>
      <w:keepLines w:val="1"/>
      <w:spacing w:after="100" w:lineRule="auto" w:before="240"/>
    </w:pPr>
    <w:rPr>
      <w:rFonts w:ascii="Arial" w:hAnsi="Arial"/>
      <w:b/>
      <w:color w:val="111111"/>
      <w:sz w:val="58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Deal Brief and Buyer Criteria — Completed example</dc:title>
  <cp:lastModifiedBy>python-docx</cp:lastModifiedBy>
  <cp:revision>1</cp:revision>
  <dcterms:modified xsi:type="dcterms:W3CDTF">2026-09-16T04:32:23Z</dcterms:modified>
  <dc:subject>Dwellings Transaction Room acquisition preparation template</dc:subject>
  <dc:creator>Dwellings</dc:creator>
  <cp:keywords>business acquisition, due diligence, transaction preparation</cp:keywords>
</cp:coreProperties>
</file>