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680" w:after="400"/>
      </w:pPr>
      <w:r>
        <w:rPr>
          <w:color w:val="111111"/>
          <w:sz w:val="30"/>
        </w:rPr>
        <w:t>━━━━━━━</w:t>
      </w:r>
    </w:p>
    <w:p>
      <w:pPr>
        <w:pStyle w:val="Title"/>
        <w:spacing w:after="280"/>
      </w:pPr>
      <w:r>
        <w:t>Confidentiality and NDA Preparation Brief</w:t>
      </w:r>
    </w:p>
    <w:p>
      <w:r>
        <w:rPr>
          <w:rFonts w:ascii="Arial" w:hAnsi="Arial"/>
          <w:b/>
          <w:color w:val="1D4ED8"/>
          <w:sz w:val="18"/>
        </w:rPr>
        <w:t>EDITABLE BLANK TEMPLATE</w:t>
      </w:r>
      <w:r>
        <w:t xml:space="preserve">  ·  Canadian small-business acquisition preparation</w:t>
      </w:r>
    </w:p>
    <w:tbl>
      <w:tblPr>
        <w:tblW w:type="auto" w:w="0"/>
        <w:jc w:val="center"/>
        <w:tblLayout w:type="fixed"/>
        <w:tblLook w:firstColumn="1" w:firstRow="1" w:lastColumn="0" w:lastRow="0" w:noHBand="0" w:noVBand="1" w:val="04A0"/>
      </w:tblPr>
      <w:tblGrid>
        <w:gridCol w:w="2541"/>
        <w:gridCol w:w="2541"/>
        <w:gridCol w:w="2541"/>
        <w:gridCol w:w="2541"/>
      </w:tblGrid>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Deal</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[Enter deal or target name]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Prepared</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[Enter date]</w:t>
            </w:r>
          </w:p>
        </w:tc>
      </w:tr>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Buyer</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[Enter buyer legal name]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Status</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[Draft / review / approved]</w:t>
            </w:r>
          </w:p>
        </w:tc>
      </w:tr>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Jurisdiction</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[Country and province/state]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Currency</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[Currency]</w:t>
            </w:r>
          </w:p>
        </w:tc>
      </w:tr>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Owner</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[Name and role]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Advisers</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[List required advisers]</w:t>
            </w:r>
          </w:p>
        </w:tc>
      </w:tr>
    </w:tbl>
    <w:p>
      <w:pPr>
        <w:spacing w:before="240"/>
      </w:pPr>
      <w:r>
        <w:rPr>
          <w:b/>
          <w:color w:val="0D1B2A"/>
        </w:rPr>
        <w:t xml:space="preserve">Purpose  </w:t>
      </w:r>
      <w:r>
        <w:t>Give local counsel the factual instructions needed to draft or review confidentiality terms before sensitive records are shared.</w:t>
      </w:r>
    </w:p>
    <w:tbl>
      <w:tblPr>
        <w:tblW w:type="auto" w:w="0"/>
        <w:tblLook w:firstColumn="1" w:firstRow="1" w:lastColumn="0" w:lastRow="0" w:noHBand="0" w:noVBand="1" w:val="04A0"/>
      </w:tblPr>
      <w:tblGrid>
        <w:gridCol w:w="10166"/>
      </w:tblGrid>
      <w:tr>
        <w:tc>
          <w:tcPr>
            <w:tcW w:type="dxa" w:w="10166"/>
            <w:shd w:fill="FFF4D6"/>
            <w:tcBorders>
              <w:top w:val="single" w:sz="4" w:color="E7C86E"/>
              <w:left w:val="single" w:sz="4" w:color="E7C86E"/>
              <w:bottom w:val="single" w:sz="4" w:color="E7C86E"/>
              <w:right w:val="single" w:sz="4" w:color="E7C86E"/>
              <w:insideH w:val="single" w:sz="4" w:color="E7C86E"/>
              <w:insideV w:val="single" w:sz="4" w:color="E7C86E"/>
            </w:tcBorders>
            <w:vAlign w:val="center"/>
          </w:tcPr>
          <w:p>
            <w:pPr>
              <w:spacing w:after="0" w:before="0"/>
            </w:pPr>
            <w:r/>
            <w:r>
              <w:rPr>
                <w:rFonts w:ascii="Arial" w:hAnsi="Arial"/>
                <w:b w:val="0"/>
                <w:i w:val="0"/>
                <w:sz w:val="17"/>
              </w:rPr>
              <w:t>Complete the blue bracketed fields. Attach evidence where requested. Do not sign, submit or rely on this preparation brief until the appropriate lawyer, accountant, lender or other adviser has reviewed the transaction-specific information.</w:t>
            </w:r>
          </w:p>
        </w:tc>
      </w:tr>
    </w:tbl>
    <w:p>
      <w:r>
        <w:br w:type="page"/>
      </w:r>
    </w:p>
    <w:p>
      <w:pPr>
        <w:pStyle w:val="Heading1"/>
      </w:pPr>
      <w:r>
        <w:t>Parties and permitted purpose</w:t>
      </w:r>
    </w:p>
    <w:p>
      <w:pPr>
        <w:keepNext/>
      </w:pPr>
      <w:r>
        <w:t>Use exact legal names and identify the transaction being evaluated.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Field</w:t>
            </w:r>
          </w:p>
        </w:tc>
        <w:tc>
          <w:tcPr>
            <w:tcW w:type="dxa" w:w="46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Entry</w:t>
            </w:r>
          </w:p>
        </w:tc>
        <w:tc>
          <w:tcPr>
            <w:tcW w:type="dxa" w:w="30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Evidence / 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Disclosing party</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exact legal name and address]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[Verification source]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Receiving party</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buyer legal name and address]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[Verification source]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Permitted purpose</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[Describe the evaluation purpose]</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Permitted recipients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[List employees and advisers]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[Control or evidence]</w:t>
            </w:r>
          </w:p>
        </w:tc>
      </w:tr>
    </w:tbl>
    <w:p>
      <w:pPr>
        <w:pStyle w:val="Heading1"/>
      </w:pPr>
      <w:r>
        <w:t>Information and handling</w:t>
      </w:r>
    </w:p>
    <w:p>
      <w:pPr>
        <w:keepNext/>
      </w:pPr>
      <w:r>
        <w:t>Tell counsel what will be disclosed and how it will be controlled.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Field</w:t>
            </w:r>
          </w:p>
        </w:tc>
        <w:tc>
          <w:tcPr>
            <w:tcW w:type="dxa" w:w="46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Entry</w:t>
            </w:r>
          </w:p>
        </w:tc>
        <w:tc>
          <w:tcPr>
            <w:tcW w:type="dxa" w:w="30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Evidence / 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Expected information</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[List categories of information]</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[Privacy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Access controls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access method and controls]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Exclusions requested</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requested exclusions]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Return or deletion</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requested return/deletion rules]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 note]</w:t>
            </w:r>
          </w:p>
        </w:tc>
      </w:tr>
    </w:tbl>
    <w:p>
      <w:pPr>
        <w:pStyle w:val="Heading1"/>
      </w:pPr>
      <w:r>
        <w:t>Restrictions and legal questions</w:t>
      </w:r>
    </w:p>
    <w:p>
      <w:pPr>
        <w:keepNext/>
      </w:pPr>
      <w:r>
        <w:t>Flag business sensitivities; do not draft legal clauses in this brief.</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Field</w:t>
            </w:r>
          </w:p>
        </w:tc>
        <w:tc>
          <w:tcPr>
            <w:tcW w:type="dxa" w:w="46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Entry</w:t>
            </w:r>
          </w:p>
        </w:tc>
        <w:tc>
          <w:tcPr>
            <w:tcW w:type="dxa" w:w="30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Evidence / 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Contact restrictions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requested restrictions]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Compelled disclosure</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business instruction]</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Term and survival</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requested duration]</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Governing law</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jurisdiction question]</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 note]</w:t>
            </w:r>
          </w:p>
        </w:tc>
      </w:tr>
    </w:tbl>
    <w:p>
      <w:pPr>
        <w:pStyle w:val="Heading1"/>
      </w:pPr>
      <w:r>
        <w:t>Open items and decisions</w:t>
      </w:r>
    </w:p>
    <w:tbl>
      <w:tblPr>
        <w:tblW w:type="auto" w:w="0"/>
        <w:tblLook w:firstColumn="1" w:firstRow="1" w:lastColumn="0" w:lastRow="0" w:noHBand="0" w:noVBand="1" w:val="04A0"/>
      </w:tblPr>
      <w:tblGrid>
        <w:gridCol w:w="2033"/>
        <w:gridCol w:w="2033"/>
        <w:gridCol w:w="2033"/>
        <w:gridCol w:w="2033"/>
        <w:gridCol w:w="2033"/>
      </w:tblGrid>
      <w:tr>
        <w:trPr>
          <w:tblHeader w:val="true"/>
        </w:trPr>
        <w:tc>
          <w:tcPr>
            <w:tcW w:type="dxa" w:w="2952"/>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Item</w:t>
            </w:r>
          </w:p>
        </w:tc>
        <w:tc>
          <w:tcPr>
            <w:tcW w:type="dxa" w:w="165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Owner</w:t>
            </w:r>
          </w:p>
        </w:tc>
        <w:tc>
          <w:tcPr>
            <w:tcW w:type="dxa" w:w="12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Due</w:t>
            </w:r>
          </w:p>
        </w:tc>
        <w:tc>
          <w:tcPr>
            <w:tcW w:type="dxa" w:w="12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Status</w:t>
            </w:r>
          </w:p>
        </w:tc>
        <w:tc>
          <w:tcPr>
            <w:tcW w:type="dxa" w:w="28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Decision / completion evidence</w:t>
            </w:r>
          </w:p>
        </w:tc>
      </w:tr>
      <w:tr>
        <w:tc>
          <w:tcPr>
            <w:tcW w:type="dxa" w:w="295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6"/>
              </w:rPr>
              <w:t>[Describe open item]</w:t>
            </w:r>
          </w:p>
        </w:tc>
        <w:tc>
          <w:tcPr>
            <w:tcW w:type="dxa" w:w="165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[Owner]</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[Date]</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[Status]</w:t>
            </w:r>
          </w:p>
        </w:tc>
        <w:tc>
          <w:tcPr>
            <w:tcW w:type="dxa" w:w="28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[Decision or completion evidence]</w:t>
            </w:r>
          </w:p>
        </w:tc>
      </w:tr>
      <w:tr>
        <w:tc>
          <w:tcPr>
            <w:tcW w:type="dxa" w:w="295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6"/>
              </w:rPr>
              <w:t>[Describe open item]</w:t>
            </w:r>
          </w:p>
        </w:tc>
        <w:tc>
          <w:tcPr>
            <w:tcW w:type="dxa" w:w="165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[Owner]</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[Date]</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[Status]</w:t>
            </w:r>
          </w:p>
        </w:tc>
        <w:tc>
          <w:tcPr>
            <w:tcW w:type="dxa" w:w="28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[Decision or completion evidence]</w:t>
            </w:r>
          </w:p>
        </w:tc>
      </w:tr>
      <w:tr>
        <w:tc>
          <w:tcPr>
            <w:tcW w:type="dxa" w:w="295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6"/>
              </w:rPr>
              <w:t>[Describe open item]</w:t>
            </w:r>
          </w:p>
        </w:tc>
        <w:tc>
          <w:tcPr>
            <w:tcW w:type="dxa" w:w="165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[Owner]</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[Date]</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[Status]</w:t>
            </w:r>
          </w:p>
        </w:tc>
        <w:tc>
          <w:tcPr>
            <w:tcW w:type="dxa" w:w="28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[Decision or completion evidence]</w:t>
            </w:r>
          </w:p>
        </w:tc>
      </w:tr>
    </w:tbl>
    <w:p>
      <w:pPr>
        <w:pStyle w:val="Heading1"/>
      </w:pPr>
      <w:r>
        <w:t>Reference sources and review boundary</w:t>
      </w:r>
    </w:p>
    <w:p>
      <w:r>
        <w:t>The structure reflects common acquisition preparation topics described by public small-business guidance. The sources do not replace transaction-specific advice.</w:t>
      </w:r>
    </w:p>
    <w:p>
      <w:pPr>
        <w:spacing w:after="20"/>
        <w:ind w:left="259" w:hanging="173"/>
      </w:pPr>
      <w:r>
        <w:rPr>
          <w:color w:val="4B5563"/>
          <w:sz w:val="14"/>
        </w:rPr>
        <w:t>•  BDC Buying a Business in Canada: https://www.bdc.ca/en/articles-tools/entrepreneur-toolkit/guides/buying-business-canada</w:t>
      </w:r>
    </w:p>
    <w:p>
      <w:pPr>
        <w:spacing w:after="20"/>
        <w:ind w:left="259" w:hanging="173"/>
      </w:pPr>
      <w:r>
        <w:rPr>
          <w:color w:val="4B5563"/>
          <w:sz w:val="14"/>
        </w:rPr>
        <w:t>•  BDC Due Diligence When Buying a Business: https://www.bdc.ca/en/articles-tools/start-buy-business/buy-business/buying-business-conducting-due-diligence</w:t>
      </w:r>
    </w:p>
    <w:p>
      <w:pPr>
        <w:spacing w:after="20"/>
        <w:ind w:left="259" w:hanging="173"/>
      </w:pPr>
      <w:r>
        <w:rPr>
          <w:color w:val="4B5563"/>
          <w:sz w:val="14"/>
        </w:rPr>
        <w:t>•  Canada Revenue Agency Buying a Business: https://www.canada.ca/en/revenue-agency/services/tax/businesses/topics/business-registration/maintain-business/buying-business.html</w:t>
      </w:r>
    </w:p>
    <w:sectPr>
      <w:headerReference r:id="rId13" w:type="default"/>
      <w:footerReference r:id="rId14" w:type="default"/>
      <w:pgSz w:h="15840" w:w="12240" w:orient="portrait"/>
      <w:pgMar w:bottom="936" w:top="936" w:left="1037" w:right="1037"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tabs>
        <w:tab w:val="right" w:leader="none" w:pos="9214"/>
      </w:tabs>
      <w:jc w:val="left"/>
      <w:rPr>
        <w:color w:val="999999"/>
        <w:sz w:val="18"/>
        <w:szCs w:val="18"/>
      </w:rPr>
    </w:pPr>
    <w:r>
      <w:rPr>
        <w:rFonts w:ascii="Arial" w:hAnsi="Arial"/>
        <w:color w:val="777777"/>
        <w:sz w:val="14"/>
      </w:rPr>
      <w:t>Educational preparation material · confirm transaction-specific requirements with qualified advisers</w:t>
    </w:r>
    <w:r>
      <w:t xml:space="preserve">          </w:t>
    </w:r>
    <w:r>
      <w:fldChar w:fldCharType="begin"/>
      <w:instrText xml:space="preserve">PAGE</w:instrText>
      <w:fldChar w:fldCharType="separate"/>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jc w:val="right"/>
      <w:rPr>
        <w:color w:val="999999"/>
        <w:sz w:val="24"/>
        <w:szCs w:val="24"/>
      </w:rPr>
    </w:pPr>
    <w:r>
      <w:rPr>
        <w:rFonts w:ascii="Arial" w:hAnsi="Arial"/>
        <w:color w:val="858585"/>
        <w:sz w:val="15"/>
      </w:rPr>
      <w:t>Dwellings Transaction Room  ·  Confidentiality and NDA Preparation Brief  ·  Blank template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64" w:lineRule="auto"/>
    </w:pPr>
    <w:rPr>
      <w:rFonts w:ascii="Arial" w:hAnsi="Arial"/>
      <w:color w:val="111827"/>
      <w:sz w:val="19"/>
    </w:rPr>
  </w:style>
  <w:style w:type="paragraph" w:styleId="Heading1">
    <w:name w:val="heading 1"/>
    <w:basedOn w:val="Normal"/>
    <w:next w:val="Normal"/>
    <w:pPr>
      <w:keepNext/>
      <w:keepLines w:val="1"/>
      <w:spacing w:after="100" w:before="240" w:lineRule="auto"/>
    </w:pPr>
    <w:rPr>
      <w:rFonts w:ascii="Arial" w:hAnsi="Arial"/>
      <w:b/>
      <w:color w:val="0D1B2A"/>
      <w:sz w:val="34"/>
      <w:szCs w:val="40"/>
    </w:rPr>
  </w:style>
  <w:style w:type="paragraph" w:styleId="Heading2">
    <w:name w:val="heading 2"/>
    <w:basedOn w:val="Normal"/>
    <w:next w:val="Normal"/>
    <w:pPr>
      <w:keepNext/>
      <w:keepLines w:val="1"/>
      <w:spacing w:after="100" w:before="240" w:lineRule="auto"/>
    </w:pPr>
    <w:rPr>
      <w:rFonts w:ascii="Arial" w:hAnsi="Arial"/>
      <w:b/>
      <w:color w:val="0D1B2A"/>
      <w:sz w:val="24"/>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keepLines w:val="1"/>
      <w:spacing w:after="100" w:lineRule="auto" w:before="240"/>
    </w:pPr>
    <w:rPr>
      <w:rFonts w:ascii="Arial" w:hAnsi="Arial"/>
      <w:b/>
      <w:color w:val="111111"/>
      <w:sz w:val="58"/>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Confidentiality and NDA Preparation Brief — Blank template</dc:title>
  <cp:lastModifiedBy>python-docx</cp:lastModifiedBy>
  <cp:revision>1</cp:revision>
  <dcterms:modified xsi:type="dcterms:W3CDTF">2026-09-16T04:32:23Z</dcterms:modified>
  <dc:subject>Dwellings Transaction Room acquisition preparation template</dc:subject>
  <dc:creator>Dwellings</dc:creator>
  <cp:keywords>business acquisition, due diligence, transaction preparation</cp:keywords>
</cp:coreProperties>
</file>