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Closing Checklist and Funds-Flow Review</w:t>
      </w:r>
    </w:p>
    <w:p>
      <w:r>
        <w:rPr>
          <w:rFonts w:ascii="Arial" w:hAnsi="Arial"/>
          <w:b/>
          <w:color w:val="1D4ED8"/>
          <w:sz w:val="18"/>
        </w:rPr>
        <w:t>ILLUSTRATIVE WORKED EXAMPLE</w:t>
      </w:r>
      <w:r>
        <w:t xml:space="preserve">  |  Buyer working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Coordinate final documents, approvals, payment verification and operational handover with the lawyer and lender.</w:t>
      </w:r>
    </w:p>
    <w:p>
      <w:pPr>
        <w:spacing w:before="100"/>
      </w:pPr>
      <w:r>
        <w:rPr>
          <w:b/>
        </w:rPr>
        <w:t xml:space="preserve">File note  </w:t>
      </w:r>
      <w:r>
        <w:t>Names, dates and figures are illustrative; no seller records are represented.</w:t>
      </w:r>
    </w:p>
    <w:p>
      <w:pPr>
        <w:pStyle w:val="Heading1"/>
      </w:pPr>
      <w:r>
        <w:t>Readiness and authority</w:t>
      </w:r>
    </w:p>
    <w:p>
      <w:pPr>
        <w:keepNext/>
      </w:pPr>
      <w:r>
        <w:t>Only the responsible professional should confirm legal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Closing date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30 November 2026, subject to counsel confirmation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agenda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Signing authority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 director resolution and signing officer list requested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verify execution authority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Conditions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Financing approval, landlord consent and licence plan remain open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Agreement condition tracker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Final documents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Final execution versions to be posted by counsel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Counsel-controlled signing package</w:t>
            </w:r>
          </w:p>
        </w:tc>
      </w:tr>
    </w:tbl>
    <w:p>
      <w:pPr>
        <w:pStyle w:val="Heading1"/>
      </w:pPr>
      <w:r>
        <w:t>Funds flow and adjustments</w:t>
      </w:r>
    </w:p>
    <w:p>
      <w:pPr>
        <w:keepNext/>
      </w:pPr>
      <w:r>
        <w:t>Reconcile each amount to the agreement, lender instructions and approved sources and 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Purchase 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 before final adjustments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Purchase agreement and closing statement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Adjustments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Working capital, inventory count and prepaid items pending final statement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 review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Debt payouts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bank payout and lien release required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Current payout letter and release undertaking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Payment instructions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Independently verify through known counsel contact before transfer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Name, date, method and call-back record</w:t>
            </w:r>
          </w:p>
        </w:tc>
      </w:tr>
    </w:tbl>
    <w:p>
      <w:r>
        <w:br w:type="page"/>
      </w:r>
    </w:p>
    <w:p>
      <w:pPr>
        <w:pStyle w:val="Heading1"/>
      </w:pPr>
      <w:r>
        <w:t>Handover and completion evidence</w:t>
      </w:r>
    </w:p>
    <w:p>
      <w:pPr>
        <w:keepNext/>
      </w:pPr>
      <w:r>
        <w:t>Assign each access item and retain proof of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Physical access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Keys, vehicles, equipment and premises access at release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Signed possession/handover record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Systems and records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Email, accounting, scheduling, banking and vendor portals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Credential transfer log; passwords sent securely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People and communications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Employee briefing and priority customer notices after legal completion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 scripts and delivery record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Completion confirmation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Only buyer counsel will confirm legal closing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completion notice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Verify final wire instructions independently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day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Call-back record using known number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Receive written closing confirmation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day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completion email</w:t>
            </w:r>
          </w:p>
        </w:tc>
      </w:tr>
    </w:tbl>
    <w:p>
      <w:pPr>
        <w:pStyle w:val="Heading1"/>
      </w:pPr>
      <w:r>
        <w:t>Review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Disposition and next action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Avery Chen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15 Sep 2026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Continue limited diligence; adviser review pending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Legal counsel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legal and transfer issues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financial and tax treatment</w:t>
            </w:r>
          </w:p>
        </w:tc>
      </w:tr>
    </w:tbl>
    <w:p>
      <w:pPr>
        <w:pStyle w:val="Heading1"/>
      </w:pPr>
      <w:r>
        <w:t>Reference guidance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Steps to Buying a Business: https://www.bdc.ca/en/articles-tools/start-buy-business/buy-business/what-are-steps-buying-business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Checklist: https://www.bdc.ca/en/articles-tools/entrepreneur-toolkit/templates-business-guides/due-diligence-when-buying-business-checklist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77777"/>
        <w:sz w:val="14"/>
      </w:rPr>
      <w:t>Confidential transaction working paper  |  Adviser review required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58585"/>
        <w:sz w:val="15"/>
      </w:rPr>
      <w:t>Closing Checklist and Funds-Flow Review  |  Illustrative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1B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Checklist and Funds-Flow Review — Illustrative example</dc:title>
  <dc:subject>Dwellings Transaction Room acquisition preparation template</dc:subject>
  <dc:creator>Dwellings</dc:creator>
  <cp:keywords>business acquisition, due diligence, transaction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