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of Intent for Proposed Asset Purchase</w:t>
      </w:r>
    </w:p>
    <w:p>
      <w:r>
        <w:rPr>
          <w:b/>
        </w:rPr>
        <w:t>DRAFT FOR LEGAL REVIEW</w:t>
      </w:r>
      <w:r>
        <w:t xml:space="preserve">  |  Illustrative transaction with fictional parties</w:t>
      </w:r>
    </w:p>
    <w:p>
      <w:r>
        <w:t>Date  15 September 2026</w:t>
      </w:r>
    </w:p>
    <w:p>
      <w:r>
        <w:t>To  Harbour Services Ltd.</w:t>
        <w:br/>
        <w:t>From  North Shore Acquisition Co.</w:t>
        <w:br/>
        <w:t>Re  Proposed acquisition of specified operating assets</w:t>
      </w:r>
    </w:p>
    <w:p>
      <w:r>
        <w:t>This letter records the principal terms on which the parties intend to explore a transaction. Sections 1 through 8 are non-binding expressions of present intent. Sections 9 through 12 are intended to be binding only if this letter is accepted, subject to counsel’s review of enforceability and wording.</w:t>
      </w:r>
    </w:p>
    <w:p>
      <w:pPr>
        <w:pStyle w:val="Heading1"/>
      </w:pPr>
      <w:r>
        <w:t>1 Proposed transaction</w:t>
      </w:r>
    </w:p>
    <w:p>
      <w:r>
        <w:t>North Shore Acquisition Co. proposes to acquire the operating assets used in Harbour Services Ltd.’s commercial HVAC maintenance business in British Columbia. The final asset and excluded-asset schedules will be attached to the definitive agreement.</w:t>
      </w:r>
    </w:p>
    <w:p>
      <w:pPr>
        <w:pStyle w:val="Heading1"/>
      </w:pPr>
      <w:r>
        <w:t>2 Purchase price</w:t>
      </w:r>
    </w:p>
    <w:p>
      <w:r>
        <w:t>The indicative purchase price is CAD 500,000, subject to confirmatory diligence and the working-capital, debt and other adjustments agreed in the definitive agreement.</w:t>
      </w:r>
    </w:p>
    <w:p>
      <w:pPr>
        <w:pStyle w:val="Heading1"/>
      </w:pPr>
      <w:r>
        <w:t>3 Payment and financing</w:t>
      </w:r>
    </w:p>
    <w:p>
      <w:r>
        <w:t>Buyer expects to fund the price with equity and third-party financing; no lender commitment has been received. Any deposit, holdback or seller note remains to be negotiated.</w:t>
      </w:r>
    </w:p>
    <w:p>
      <w:pPr>
        <w:pStyle w:val="Heading1"/>
      </w:pPr>
      <w:r>
        <w:t>4 Working capital and liabilities</w:t>
      </w:r>
    </w:p>
    <w:p>
      <w:r>
        <w:t>The parties will agree a normalized working-capital target and closing statement process. Seller debt is expected to be discharged at closing; assumed liabilities, if any, will be listed expressly.</w:t>
      </w:r>
    </w:p>
    <w:p>
      <w:pPr>
        <w:pStyle w:val="Heading1"/>
      </w:pPr>
      <w:r>
        <w:t>5 Due diligence</w:t>
      </w:r>
    </w:p>
    <w:p>
      <w:r>
        <w:t>Buyer will have reasonable access to financial, tax, legal, employee, contract, property and operational records under the existing confidentiality agreement. Buyer proposes to finish primary diligence by 31 October 2026.</w:t>
      </w:r>
    </w:p>
    <w:p>
      <w:pPr>
        <w:pStyle w:val="Heading1"/>
      </w:pPr>
      <w:r>
        <w:t>6 Conditions</w:t>
      </w:r>
    </w:p>
    <w:p>
      <w:r>
        <w:t>A definitive agreement would be conditional on satisfactory diligence, financing approval, landlord and material contract consents, and an acceptable licence-transfer plan.</w:t>
      </w:r>
    </w:p>
    <w:p>
      <w:pPr>
        <w:pStyle w:val="Heading1"/>
      </w:pPr>
      <w:r>
        <w:t>7 Definitive agreement</w:t>
      </w:r>
    </w:p>
    <w:p>
      <w:r>
        <w:t>Counsel will prepare an asset purchase agreement, schedules, closing deliverables, representations, indemnities and transitional terms. No purchase obligation arises unless and until a definitive agreement is signed.</w:t>
      </w:r>
    </w:p>
    <w:p>
      <w:pPr>
        <w:pStyle w:val="Heading1"/>
      </w:pPr>
      <w:r>
        <w:t>8 Timing and transition</w:t>
      </w:r>
    </w:p>
    <w:p>
      <w:r>
        <w:t>The parties target 30 November 2026 for closing, subject to conditions. Seller transition support for 60 days will be negotiated in a separate schedule.</w:t>
      </w:r>
    </w:p>
    <w:p>
      <w:pPr>
        <w:pStyle w:val="Heading1"/>
      </w:pPr>
      <w:r>
        <w:t>9 Confidentiality</w:t>
      </w:r>
    </w:p>
    <w:p>
      <w:r>
        <w:t>The parties will comply with their existing confidentiality agreement. Neither may announce the proposed Transaction without the other’s written consent, except as required by law.</w:t>
      </w:r>
    </w:p>
    <w:p>
      <w:pPr>
        <w:pStyle w:val="Heading1"/>
      </w:pPr>
      <w:r>
        <w:t>10 Exclusivity</w:t>
      </w:r>
    </w:p>
    <w:p>
      <w:r>
        <w:t>For 45 days after acceptance, Seller will not solicit or negotiate a competing sale of the business, subject to any exceptions written here: none.</w:t>
      </w:r>
    </w:p>
    <w:p>
      <w:pPr>
        <w:pStyle w:val="Heading1"/>
      </w:pPr>
      <w:r>
        <w:t>11 Costs</w:t>
      </w:r>
    </w:p>
    <w:p>
      <w:r>
        <w:t>Each party will pay its own advisers and transaction expenses unless a definitive agreement expressly provides otherwise.</w:t>
      </w:r>
    </w:p>
    <w:p>
      <w:pPr>
        <w:pStyle w:val="Heading1"/>
      </w:pPr>
      <w:r>
        <w:t>12 Governing law and expiry</w:t>
      </w:r>
    </w:p>
    <w:p>
      <w:r>
        <w:t>The binding sections are governed by the laws of British Columbia and applicable Canadian law. This letter expires unless accepted by 5:00 p.m. Vancouver time on 30 September 2026.</w:t>
      </w:r>
    </w:p>
    <w:p>
      <w:pPr>
        <w:pStyle w:val="Heading1"/>
      </w:pPr>
      <w:r>
        <w:t>Party details and acceptance</w:t>
      </w:r>
    </w:p>
    <w:p>
      <w:r>
        <w:t>Seller  Harbour Services Ltd.</w:t>
        <w:br/>
        <w:t>Address  [Confirm registered address]</w:t>
        <w:br/>
        <w:t>Authorized signatory  [Name and title]</w:t>
        <w:br/>
        <w:t>Signature  ______________________________  Date  ______________</w:t>
      </w:r>
    </w:p>
    <w:p>
      <w:r>
        <w:t>Buyer  North Shore Acquisition Co.</w:t>
        <w:br/>
        <w:t>Address  [Confirm registered address]</w:t>
        <w:br/>
        <w:t>Authorized signatory  [Name and title]</w:t>
        <w:br/>
        <w:t>Signature  ______________________________  Date  ______________</w:t>
      </w:r>
    </w:p>
    <w:p>
      <w:r>
        <w:t>Counsel review  [Name, date and version approved]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77777"/>
        <w:sz w:val="14"/>
      </w:rPr>
      <w:t>Confidential transaction working paper  |  Adviser review required</w:t>
    </w:r>
    <w:r>
      <w:t xml:space="preserve">       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58585"/>
        <w:sz w:val="15"/>
      </w:rPr>
      <w:t>Letter of Intent for Proposed Asset Purchase  |  Draft for counsel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" w:hAnsi="Arial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D1B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D1B2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of Intent for Proposed Asset Purchase</dc:title>
  <dc:subject/>
  <dc:creator>Dwellings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