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60"/>
        <w:keepNext/>
        <w:keepLines/>
      </w:pPr>
      <w:r>
        <w:rPr>
          <w:rFonts w:ascii="Calibri" w:hAnsi="Calibri"/>
          <w:b/>
          <w:color w:val="0B2545"/>
          <w:sz w:val="48"/>
        </w:rPr>
        <w:t>Story Creation Specification</w:t>
      </w:r>
    </w:p>
    <w:p>
      <w:pPr>
        <w:spacing w:after="200"/>
      </w:pPr>
      <w:r>
        <w:rPr>
          <w:rFonts w:ascii="Calibri" w:hAnsi="Calibri"/>
          <w:color w:val="5E6A76"/>
          <w:sz w:val="23"/>
        </w:rPr>
        <w:t>Creative development standard for a 100-episode season, beginning with a ten-episode review batch.</w:t>
      </w:r>
    </w:p>
    <w:tbl>
      <w:tblPr>
        <w:tblW w:type="dxa" w:w="9360"/>
        <w:jc w:val="left"/>
        <w:tblLayout w:type="fixed"/>
        <w:tblLook w:firstColumn="1" w:firstRow="1" w:lastColumn="0" w:lastRow="0" w:noHBand="0" w:noVBand="1" w:val="04A0"/>
        <w:tblInd w:w="120" w:type="dxa"/>
      </w:tblPr>
      <w:tblGrid>
        <w:gridCol w:w="2088"/>
        <w:gridCol w:w="3672"/>
        <w:gridCol w:w="3600"/>
      </w:tblGrid>
      <w:tr>
        <w:trPr>
          <w:trHeight w:hRule="atLeast"/>
          <w:cantSplit/>
        </w:trPr>
        <w:tc>
          <w:tcPr>
            <w:tcW w:type="dxa" w:w="208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F4F6F9" w:val="clear"/>
          </w:tcPr>
          <w:p>
            <w:pPr>
              <w:spacing w:after="0"/>
            </w:pPr>
            <w:r>
              <w:rPr>
                <w:rFonts w:ascii="Calibri" w:hAnsi="Calibri"/>
                <w:b/>
                <w:color w:val="5E6A76"/>
                <w:sz w:val="16"/>
              </w:rPr>
              <w:t>Version</w:t>
              <w:br/>
            </w:r>
            <w:r>
              <w:rPr>
                <w:rFonts w:ascii="Calibri" w:hAnsi="Calibri"/>
                <w:b/>
                <w:color w:val="0B2545"/>
                <w:sz w:val="19"/>
              </w:rPr>
              <w:t>1.1</w:t>
            </w:r>
          </w:p>
        </w:tc>
        <w:tc>
          <w:tcPr>
            <w:tcW w:type="dxa" w:w="367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F4F6F9" w:val="clear"/>
          </w:tcPr>
          <w:p>
            <w:pPr>
              <w:spacing w:after="0"/>
            </w:pPr>
            <w:r>
              <w:rPr>
                <w:rFonts w:ascii="Calibri" w:hAnsi="Calibri"/>
                <w:b/>
                <w:color w:val="5E6A76"/>
                <w:sz w:val="16"/>
              </w:rPr>
              <w:t>Date</w:t>
              <w:br/>
            </w:r>
            <w:r>
              <w:rPr>
                <w:rFonts w:ascii="Calibri" w:hAnsi="Calibri"/>
                <w:b/>
                <w:color w:val="0B2545"/>
                <w:sz w:val="19"/>
              </w:rPr>
              <w:t>24 July 2026</w:t>
            </w:r>
          </w:p>
        </w:tc>
        <w:tc>
          <w:tcPr>
            <w:tcW w:type="dxa" w:w="360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F4F6F9" w:val="clear"/>
          </w:tcPr>
          <w:p>
            <w:pPr>
              <w:spacing w:after="0"/>
            </w:pPr>
            <w:r>
              <w:rPr>
                <w:rFonts w:ascii="Calibri" w:hAnsi="Calibri"/>
                <w:b/>
                <w:color w:val="5E6A76"/>
                <w:sz w:val="16"/>
              </w:rPr>
              <w:t>Status</w:t>
              <w:br/>
            </w:r>
            <w:r>
              <w:rPr>
                <w:rFonts w:ascii="Calibri" w:hAnsi="Calibri"/>
                <w:b/>
                <w:color w:val="0B2545"/>
                <w:sz w:val="19"/>
              </w:rPr>
              <w:t>Project standard</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trHeight w:hRule="atLeast"/>
          <w:cantSplit/>
        </w:trPr>
        <w:tc>
          <w:tcPr>
            <w:tcW w:type="dxa" w:w="936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EDF5FB" w:val="clear"/>
          </w:tcPr>
          <w:p>
            <w:pPr>
              <w:spacing w:after="40"/>
            </w:pPr>
            <w:r>
              <w:rPr>
                <w:rFonts w:ascii="Calibri" w:hAnsi="Calibri"/>
                <w:b/>
                <w:color w:val="2E74B5"/>
                <w:sz w:val="16"/>
              </w:rPr>
              <w:t>CORE PRODUCTION DECISION</w:t>
            </w:r>
          </w:p>
          <w:p>
            <w:pPr>
              <w:spacing w:after="0"/>
            </w:pPr>
            <w:r>
              <w:rPr>
                <w:rFonts w:ascii="Calibri" w:hAnsi="Calibri"/>
                <w:color w:val="0B2545"/>
                <w:sz w:val="20"/>
              </w:rPr>
              <w:t>Plan each season as 100 episodes. Create Episodes 1-10 first as a complete reading and review batch. Review both the interpretation of the brief and the quality of the output before authorising Episodes 11-20.</w:t>
            </w:r>
          </w:p>
        </w:tc>
      </w:tr>
    </w:tbl>
    <w:p>
      <w:pPr>
        <w:spacing w:after="0"/>
      </w:pPr>
    </w:p>
    <w:p>
      <w:pPr>
        <w:pStyle w:val="Heading1"/>
        <w:keepNext/>
        <w:keepLines/>
      </w:pPr>
      <w:r>
        <w:t>1. Purpose and boundaries</w:t>
      </w:r>
    </w:p>
    <w:p>
      <w:r>
        <w:rPr>
          <w:rFonts w:ascii="Calibri" w:hAnsi="Calibri"/>
        </w:rPr>
        <w:t>This specification defines how a new story moves from an idea to an approved creative package. It governs the story brief, story bible, 100-episode season architecture, full episode prose, continuity controls, review gates and the artwork briefs required to illustrate the story.</w:t>
      </w:r>
    </w:p>
    <w:tbl>
      <w:tblPr>
        <w:tblW w:type="dxa" w:w="9360"/>
        <w:tblLayout w:type="fixed"/>
        <w:tblLook w:firstColumn="1" w:firstRow="1" w:lastColumn="0" w:lastRow="0" w:noHBand="0" w:noVBand="1" w:val="04A0"/>
        <w:jc w:val="left"/>
        <w:tblInd w:w="120" w:type="dxa"/>
      </w:tblPr>
      <w:tblGrid>
        <w:gridCol w:w="4680"/>
        <w:gridCol w:w="4680"/>
      </w:tblGrid>
      <w:tr>
        <w:trPr>
          <w:trHeight w:hRule="atLeast"/>
          <w:cantSplit/>
          <w:tblHeader w:val="true"/>
          <w:cantSplit/>
          <w:cantSplit/>
          <w:cantSplit/>
          <w:cantSplit/>
          <w:cantSplit/>
        </w:trPr>
        <w:tc>
          <w:tcPr>
            <w:tcW w:type="dxa" w:w="468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E8EEF5" w:val="clear"/>
          </w:tcPr>
          <w:p>
            <w:pPr>
              <w:spacing w:after="0"/>
            </w:pPr>
            <w:r>
              <w:rPr>
                <w:rFonts w:ascii="Calibri" w:hAnsi="Calibri"/>
                <w:b/>
                <w:color w:val="0B2545"/>
                <w:sz w:val="18"/>
              </w:rPr>
              <w:t>Included in this specification</w:t>
            </w:r>
          </w:p>
        </w:tc>
        <w:tc>
          <w:tcPr>
            <w:tcW w:type="dxa" w:w="468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E8EEF5" w:val="clear"/>
          </w:tcPr>
          <w:p>
            <w:pPr>
              <w:spacing w:after="0"/>
            </w:pPr>
            <w:r>
              <w:rPr>
                <w:rFonts w:ascii="Calibri" w:hAnsi="Calibri"/>
                <w:b/>
                <w:color w:val="0B2545"/>
                <w:sz w:val="18"/>
              </w:rPr>
              <w:t>Handled by another specification</w:t>
            </w:r>
          </w:p>
        </w:tc>
      </w:tr>
      <w:tr>
        <w:trPr>
          <w:trHeight w:hRule="atLeast"/>
          <w:cantSplit/>
          <w:cantSplit/>
          <w:cantSplit/>
          <w:cantSplit/>
          <w:cantSplit/>
        </w:trPr>
        <w:tc>
          <w:tcPr>
            <w:tcW w:type="dxa" w:w="468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Story premise, genre, audience and tone</w:t>
            </w:r>
          </w:p>
        </w:tc>
        <w:tc>
          <w:tcPr>
            <w:tcW w:type="dxa" w:w="468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Audio voices, synthesis, sound design and audio export</w:t>
            </w:r>
          </w:p>
        </w:tc>
      </w:tr>
      <w:tr>
        <w:trPr>
          <w:trHeight w:hRule="atLeast"/>
          <w:cantSplit/>
          <w:cantSplit/>
          <w:cantSplit/>
          <w:cantSplit/>
        </w:trPr>
        <w:tc>
          <w:tcPr>
            <w:tcW w:type="dxa" w:w="468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World-building, character design and private story bible</w:t>
            </w:r>
          </w:p>
        </w:tc>
        <w:tc>
          <w:tcPr>
            <w:tcW w:type="dxa" w:w="468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Website page copy, front-end layout and deployment</w:t>
            </w:r>
          </w:p>
        </w:tc>
      </w:tr>
      <w:tr>
        <w:trPr>
          <w:trHeight w:hRule="atLeast"/>
          <w:cantSplit/>
          <w:cantSplit/>
          <w:cantSplit/>
        </w:trPr>
        <w:tc>
          <w:tcPr>
            <w:tcW w:type="dxa" w:w="468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100-episode roadmap and ten-episode production batches</w:t>
            </w:r>
          </w:p>
        </w:tc>
        <w:tc>
          <w:tcPr>
            <w:tcW w:type="dxa" w:w="468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Story and episode database loading</w:t>
            </w:r>
          </w:p>
        </w:tc>
      </w:tr>
      <w:tr>
        <w:trPr>
          <w:trHeight w:hRule="atLeast"/>
          <w:cantSplit/>
          <w:cantSplit/>
        </w:trPr>
        <w:tc>
          <w:tcPr>
            <w:tcW w:type="dxa" w:w="468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Episode titles, summaries and final narrative prose</w:t>
            </w:r>
          </w:p>
        </w:tc>
        <w:tc>
          <w:tcPr>
            <w:tcW w:type="dxa" w:w="468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Wiki database loading and public spoiler filtering</w:t>
            </w:r>
          </w:p>
        </w:tc>
      </w:tr>
      <w:tr>
        <w:trPr>
          <w:trHeight w:hRule="atLeast"/>
          <w:cantSplit/>
        </w:trPr>
        <w:tc>
          <w:tcPr>
            <w:tcW w:type="dxa" w:w="468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Visual continuity and artwork production briefs</w:t>
            </w:r>
          </w:p>
        </w:tc>
        <w:tc>
          <w:tcPr>
            <w:tcW w:type="dxa" w:w="468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Storage upload automation or live-site testing</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trHeight w:hRule="atLeast"/>
          <w:cantSplit/>
        </w:trPr>
        <w:tc>
          <w:tcPr>
            <w:tcW w:type="dxa" w:w="936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F4F6F9" w:val="clear"/>
          </w:tcPr>
          <w:p>
            <w:pPr>
              <w:spacing w:after="40"/>
            </w:pPr>
            <w:r>
              <w:rPr>
                <w:rFonts w:ascii="Calibri" w:hAnsi="Calibri"/>
                <w:b/>
                <w:color w:val="2E74B5"/>
                <w:sz w:val="16"/>
              </w:rPr>
              <w:t>ARTWORK SOURCE OF TRUTH</w:t>
            </w:r>
          </w:p>
          <w:p>
            <w:pPr>
              <w:spacing w:after="0"/>
            </w:pPr>
            <w:r>
              <w:rPr>
                <w:rFonts w:ascii="Calibri" w:hAnsi="Calibri"/>
                <w:color w:val="0B2545"/>
                <w:sz w:val="20"/>
              </w:rPr>
              <w:t>All image creation must follow Episode Artwork Creation &amp; Dimension Specification, file episode-artwork-production-specification(1).docx. This Story Creation specification supplies character references and scene briefs; the artwork specification controls canvas sizes, safe areas, responsive composition, filenames and acceptance checks.</w:t>
            </w:r>
          </w:p>
        </w:tc>
      </w:tr>
    </w:tbl>
    <w:p>
      <w:pPr>
        <w:spacing w:after="0"/>
      </w:pPr>
    </w:p>
    <w:p>
      <w:pPr>
        <w:pStyle w:val="Heading1"/>
        <w:keepNext/>
        <w:keepLines/>
      </w:pPr>
      <w:r>
        <w:t>2. Required output package</w:t>
      </w:r>
    </w:p>
    <w:tbl>
      <w:tblPr>
        <w:tblW w:type="dxa" w:w="9360"/>
        <w:tblLayout w:type="fixed"/>
        <w:tblLook w:firstColumn="1" w:firstRow="1" w:lastColumn="0" w:lastRow="0" w:noHBand="0" w:noVBand="1" w:val="04A0"/>
        <w:jc w:val="left"/>
        <w:tblInd w:w="120" w:type="dxa"/>
      </w:tblPr>
      <w:tblGrid>
        <w:gridCol w:w="2088"/>
        <w:gridCol w:w="4464"/>
        <w:gridCol w:w="2808"/>
      </w:tblGrid>
      <w:tr>
        <w:trPr>
          <w:trHeight w:hRule="atLeast"/>
          <w:cantSplit/>
          <w:tblHeader w:val="true"/>
          <w:cantSplit/>
          <w:cantSplit/>
          <w:cantSplit/>
          <w:cantSplit/>
          <w:cantSplit/>
          <w:cantSplit/>
        </w:trPr>
        <w:tc>
          <w:tcPr>
            <w:tcW w:type="dxa" w:w="208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E8EEF5" w:val="clear"/>
          </w:tcPr>
          <w:p>
            <w:pPr>
              <w:spacing w:after="0"/>
            </w:pPr>
            <w:r>
              <w:rPr>
                <w:rFonts w:ascii="Calibri" w:hAnsi="Calibri"/>
                <w:b/>
                <w:color w:val="0B2545"/>
                <w:sz w:val="18"/>
              </w:rPr>
              <w:t>Deliverable</w:t>
            </w:r>
          </w:p>
        </w:tc>
        <w:tc>
          <w:tcPr>
            <w:tcW w:type="dxa" w:w="446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E8EEF5" w:val="clear"/>
          </w:tcPr>
          <w:p>
            <w:pPr>
              <w:spacing w:after="0"/>
            </w:pPr>
            <w:r>
              <w:rPr>
                <w:rFonts w:ascii="Calibri" w:hAnsi="Calibri"/>
                <w:b/>
                <w:color w:val="0B2545"/>
                <w:sz w:val="18"/>
              </w:rPr>
              <w:t>Initial requirement</w:t>
            </w:r>
          </w:p>
        </w:tc>
        <w:tc>
          <w:tcPr>
            <w:tcW w:type="dxa" w:w="280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E8EEF5" w:val="clear"/>
          </w:tcPr>
          <w:p>
            <w:pPr>
              <w:spacing w:after="0"/>
            </w:pPr>
            <w:r>
              <w:rPr>
                <w:rFonts w:ascii="Calibri" w:hAnsi="Calibri"/>
                <w:b/>
                <w:color w:val="0B2545"/>
                <w:sz w:val="18"/>
              </w:rPr>
              <w:t>Acceptance question</w:t>
            </w:r>
          </w:p>
        </w:tc>
      </w:tr>
      <w:tr>
        <w:trPr>
          <w:trHeight w:hRule="atLeast"/>
          <w:cantSplit/>
          <w:cantSplit/>
          <w:cantSplit/>
          <w:cantSplit/>
          <w:cantSplit/>
          <w:cantSplit/>
        </w:trPr>
        <w:tc>
          <w:tcPr>
            <w:tcW w:type="dxa" w:w="208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Approved story brief</w:t>
            </w:r>
          </w:p>
        </w:tc>
        <w:tc>
          <w:tcPr>
            <w:tcW w:type="dxa" w:w="446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One concise source brief with premise, tone, audience, themes and exclusions.</w:t>
            </w:r>
          </w:p>
        </w:tc>
        <w:tc>
          <w:tcPr>
            <w:tcW w:type="dxa" w:w="280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Can a reviewer tell what experience the story promises?</w:t>
            </w:r>
          </w:p>
        </w:tc>
      </w:tr>
      <w:tr>
        <w:trPr>
          <w:trHeight w:hRule="atLeast"/>
          <w:cantSplit/>
          <w:cantSplit/>
          <w:cantSplit/>
          <w:cantSplit/>
          <w:cantSplit/>
        </w:trPr>
        <w:tc>
          <w:tcPr>
            <w:tcW w:type="dxa" w:w="208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Private story bible</w:t>
            </w:r>
          </w:p>
        </w:tc>
        <w:tc>
          <w:tcPr>
            <w:tcW w:type="dxa" w:w="446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World rules, character profiles, timeline, secrets, canon and visual identity.</w:t>
            </w:r>
          </w:p>
        </w:tc>
        <w:tc>
          <w:tcPr>
            <w:tcW w:type="dxa" w:w="280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Can a future episode be checked without relying on memory?</w:t>
            </w:r>
          </w:p>
        </w:tc>
      </w:tr>
      <w:tr>
        <w:trPr>
          <w:trHeight w:hRule="atLeast"/>
          <w:cantSplit/>
          <w:cantSplit/>
          <w:cantSplit/>
          <w:cantSplit/>
        </w:trPr>
        <w:tc>
          <w:tcPr>
            <w:tcW w:type="dxa" w:w="208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100-episode roadmap</w:t>
            </w:r>
          </w:p>
        </w:tc>
        <w:tc>
          <w:tcPr>
            <w:tcW w:type="dxa" w:w="446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Ten narrative arcs of about ten episodes, with major turns and end-state.</w:t>
            </w:r>
          </w:p>
        </w:tc>
        <w:tc>
          <w:tcPr>
            <w:tcW w:type="dxa" w:w="280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Does the season have controlled escalation and a destination?</w:t>
            </w:r>
          </w:p>
        </w:tc>
      </w:tr>
      <w:tr>
        <w:trPr>
          <w:trHeight w:hRule="atLeast"/>
          <w:cantSplit/>
          <w:cantSplit/>
          <w:cantSplit/>
        </w:trPr>
        <w:tc>
          <w:tcPr>
            <w:tcW w:type="dxa" w:w="208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Episodes 1-10</w:t>
            </w:r>
          </w:p>
        </w:tc>
        <w:tc>
          <w:tcPr>
            <w:tcW w:type="dxa" w:w="446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Ten complete episode drafts. Most will normally be about 900–1,300 words, with shorter or longer episodes where the dramatic unit requires it.</w:t>
            </w:r>
          </w:p>
        </w:tc>
        <w:tc>
          <w:tcPr>
            <w:tcW w:type="dxa" w:w="280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Can the batch be read as a coherent opening movement?</w:t>
            </w:r>
          </w:p>
        </w:tc>
      </w:tr>
      <w:tr>
        <w:trPr>
          <w:trHeight w:hRule="atLeast"/>
          <w:cantSplit/>
          <w:cantSplit/>
        </w:trPr>
        <w:tc>
          <w:tcPr>
            <w:tcW w:type="dxa" w:w="208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Episode production cards</w:t>
            </w:r>
          </w:p>
        </w:tc>
        <w:tc>
          <w:tcPr>
            <w:tcW w:type="dxa" w:w="446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Title, summary, objective, obstacle, turn, ending hook, continuity and artwork brief.</w:t>
            </w:r>
          </w:p>
        </w:tc>
        <w:tc>
          <w:tcPr>
            <w:tcW w:type="dxa" w:w="280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Could another writer revise an episode without guessing its purpose?</w:t>
            </w:r>
          </w:p>
        </w:tc>
      </w:tr>
      <w:tr>
        <w:trPr>
          <w:trHeight w:hRule="atLeast"/>
          <w:cantSplit/>
        </w:trPr>
        <w:tc>
          <w:tcPr>
            <w:tcW w:type="dxa" w:w="208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Batch review record</w:t>
            </w:r>
          </w:p>
        </w:tc>
        <w:tc>
          <w:tcPr>
            <w:tcW w:type="dxa" w:w="446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Brief-compliance findings, output-quality findings and approved corrections.</w:t>
            </w:r>
          </w:p>
        </w:tc>
        <w:tc>
          <w:tcPr>
            <w:tcW w:type="dxa" w:w="280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Is there a clear decision to revise, approve or stop?</w:t>
            </w:r>
          </w:p>
        </w:tc>
      </w:tr>
    </w:tbl>
    <w:p>
      <w:pPr>
        <w:spacing w:after="0"/>
      </w:pPr>
    </w:p>
    <w:p>
      <w:pPr>
        <w:pStyle w:val="Heading1"/>
        <w:keepNext/>
        <w:keepLines/>
      </w:pPr>
      <w:r>
        <w:t>3. Build and approve the source brief</w:t>
      </w:r>
    </w:p>
    <w:p>
      <w:r>
        <w:rPr>
          <w:rFonts w:ascii="Calibri" w:hAnsi="Calibri"/>
        </w:rPr>
        <w:t>The brief is the controlling creative instruction. Details added later may enrich it, but they must not quietly replace its premise, intended audience or emotional promise.</w:t>
      </w:r>
    </w:p>
    <w:tbl>
      <w:tblPr>
        <w:tblW w:type="dxa" w:w="9360"/>
        <w:tblLayout w:type="fixed"/>
        <w:tblLook w:firstColumn="1" w:firstRow="1" w:lastColumn="0" w:lastRow="0" w:noHBand="0" w:noVBand="1" w:val="04A0"/>
        <w:jc w:val="left"/>
        <w:tblInd w:w="120" w:type="dxa"/>
      </w:tblPr>
      <w:tblGrid>
        <w:gridCol w:w="2376"/>
        <w:gridCol w:w="6984"/>
      </w:tblGrid>
      <w:tr>
        <w:trPr>
          <w:trHeight w:hRule="atLeast"/>
          <w:cantSplit/>
          <w:tblHeader w:val="true"/>
          <w:cantSplit/>
          <w:cantSplit/>
          <w:cantSplit/>
          <w:cantSplit/>
          <w:cantSplit/>
          <w:cantSplit/>
          <w:cantSplit/>
          <w:cantSplit/>
          <w:cantSplit/>
          <w:cantSplit/>
        </w:trPr>
        <w:tc>
          <w:tcPr>
            <w:tcW w:type="dxa" w:w="2376"/>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E8EEF5" w:val="clear"/>
          </w:tcPr>
          <w:p>
            <w:pPr>
              <w:spacing w:after="0"/>
            </w:pPr>
            <w:r>
              <w:rPr>
                <w:rFonts w:ascii="Calibri" w:hAnsi="Calibri"/>
                <w:b/>
                <w:color w:val="0B2545"/>
                <w:sz w:val="18"/>
              </w:rPr>
              <w:t>Brief field</w:t>
            </w:r>
          </w:p>
        </w:tc>
        <w:tc>
          <w:tcPr>
            <w:tcW w:type="dxa" w:w="698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E8EEF5" w:val="clear"/>
          </w:tcPr>
          <w:p>
            <w:pPr>
              <w:spacing w:after="0"/>
            </w:pPr>
            <w:r>
              <w:rPr>
                <w:rFonts w:ascii="Calibri" w:hAnsi="Calibri"/>
                <w:b/>
                <w:color w:val="0B2545"/>
                <w:sz w:val="18"/>
              </w:rPr>
              <w:t>Required content</w:t>
            </w:r>
          </w:p>
        </w:tc>
      </w:tr>
      <w:tr>
        <w:trPr>
          <w:trHeight w:hRule="atLeast"/>
          <w:cantSplit/>
          <w:cantSplit/>
          <w:cantSplit/>
          <w:cantSplit/>
          <w:cantSplit/>
          <w:cantSplit/>
          <w:cantSplit/>
          <w:cantSplit/>
          <w:cantSplit/>
          <w:cantSplit/>
        </w:trPr>
        <w:tc>
          <w:tcPr>
            <w:tcW w:type="dxa" w:w="2376"/>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Working title</w:t>
            </w:r>
          </w:p>
        </w:tc>
        <w:tc>
          <w:tcPr>
            <w:tcW w:type="dxa" w:w="698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Distinctive title and approved lowercase hyphenated slug.</w:t>
            </w:r>
          </w:p>
        </w:tc>
      </w:tr>
      <w:tr>
        <w:trPr>
          <w:trHeight w:hRule="atLeast"/>
          <w:cantSplit/>
          <w:cantSplit/>
          <w:cantSplit/>
          <w:cantSplit/>
          <w:cantSplit/>
          <w:cantSplit/>
          <w:cantSplit/>
          <w:cantSplit/>
          <w:cantSplit/>
        </w:trPr>
        <w:tc>
          <w:tcPr>
            <w:tcW w:type="dxa" w:w="2376"/>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Genre and subgenre</w:t>
            </w:r>
          </w:p>
        </w:tc>
        <w:tc>
          <w:tcPr>
            <w:tcW w:type="dxa" w:w="698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For example: science-fiction mystery, medieval fantasy adventure or gothic romance.</w:t>
            </w:r>
          </w:p>
        </w:tc>
      </w:tr>
      <w:tr>
        <w:trPr>
          <w:trHeight w:hRule="atLeast"/>
          <w:cantSplit/>
          <w:cantSplit/>
          <w:cantSplit/>
          <w:cantSplit/>
          <w:cantSplit/>
          <w:cantSplit/>
          <w:cantSplit/>
          <w:cantSplit/>
        </w:trPr>
        <w:tc>
          <w:tcPr>
            <w:tcW w:type="dxa" w:w="2376"/>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Audience</w:t>
            </w:r>
          </w:p>
        </w:tc>
        <w:tc>
          <w:tcPr>
            <w:tcW w:type="dxa" w:w="698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Intended age range, content boundaries and expected reading/listening context.</w:t>
            </w:r>
          </w:p>
        </w:tc>
      </w:tr>
      <w:tr>
        <w:trPr>
          <w:trHeight w:hRule="atLeast"/>
          <w:cantSplit/>
          <w:cantSplit/>
          <w:cantSplit/>
          <w:cantSplit/>
          <w:cantSplit/>
          <w:cantSplit/>
          <w:cantSplit/>
        </w:trPr>
        <w:tc>
          <w:tcPr>
            <w:tcW w:type="dxa" w:w="2376"/>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One-sentence premise</w:t>
            </w:r>
          </w:p>
        </w:tc>
        <w:tc>
          <w:tcPr>
            <w:tcW w:type="dxa" w:w="698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When [inciting event], [protagonist] must [goal] before [consequence].</w:t>
            </w:r>
          </w:p>
        </w:tc>
      </w:tr>
      <w:tr>
        <w:trPr>
          <w:trHeight w:hRule="atLeast"/>
          <w:cantSplit/>
          <w:cantSplit/>
          <w:cantSplit/>
          <w:cantSplit/>
          <w:cantSplit/>
          <w:cantSplit/>
        </w:trPr>
        <w:tc>
          <w:tcPr>
            <w:tcW w:type="dxa" w:w="2376"/>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Story promise</w:t>
            </w:r>
          </w:p>
        </w:tc>
        <w:tc>
          <w:tcPr>
            <w:tcW w:type="dxa" w:w="698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The repeatable experience: discovery, danger, wonder, romance, humour, fear or emotional growth.</w:t>
            </w:r>
          </w:p>
        </w:tc>
      </w:tr>
      <w:tr>
        <w:trPr>
          <w:trHeight w:hRule="atLeast"/>
          <w:cantSplit/>
          <w:cantSplit/>
          <w:cantSplit/>
          <w:cantSplit/>
          <w:cantSplit/>
        </w:trPr>
        <w:tc>
          <w:tcPr>
            <w:tcW w:type="dxa" w:w="2376"/>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Central question</w:t>
            </w:r>
          </w:p>
        </w:tc>
        <w:tc>
          <w:tcPr>
            <w:tcW w:type="dxa" w:w="698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The unresolved question that can sustain the full season.</w:t>
            </w:r>
          </w:p>
        </w:tc>
      </w:tr>
      <w:tr>
        <w:trPr>
          <w:trHeight w:hRule="atLeast"/>
          <w:cantSplit/>
          <w:cantSplit/>
          <w:cantSplit/>
          <w:cantSplit/>
        </w:trPr>
        <w:tc>
          <w:tcPr>
            <w:tcW w:type="dxa" w:w="2376"/>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Tone and style</w:t>
            </w:r>
          </w:p>
        </w:tc>
        <w:tc>
          <w:tcPr>
            <w:tcW w:type="dxa" w:w="698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Narrative viewpoint, language level, darkness, humour, pace and comparison points.</w:t>
            </w:r>
          </w:p>
        </w:tc>
      </w:tr>
      <w:tr>
        <w:trPr>
          <w:trHeight w:hRule="atLeast"/>
          <w:cantSplit/>
          <w:cantSplit/>
          <w:cantSplit/>
        </w:trPr>
        <w:tc>
          <w:tcPr>
            <w:tcW w:type="dxa" w:w="2376"/>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Required elements</w:t>
            </w:r>
          </w:p>
        </w:tc>
        <w:tc>
          <w:tcPr>
            <w:tcW w:type="dxa" w:w="698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Characters, setting, themes, relationships, scenes or outcomes that must appear.</w:t>
            </w:r>
          </w:p>
        </w:tc>
      </w:tr>
      <w:tr>
        <w:trPr>
          <w:trHeight w:hRule="atLeast"/>
          <w:cantSplit/>
          <w:cantSplit/>
        </w:trPr>
        <w:tc>
          <w:tcPr>
            <w:tcW w:type="dxa" w:w="2376"/>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Exclusions</w:t>
            </w:r>
          </w:p>
        </w:tc>
        <w:tc>
          <w:tcPr>
            <w:tcW w:type="dxa" w:w="698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Content, clichés, themes, character treatments or outcomes that must not appear.</w:t>
            </w:r>
          </w:p>
        </w:tc>
      </w:tr>
      <w:tr>
        <w:trPr>
          <w:trHeight w:hRule="atLeast"/>
          <w:cantSplit/>
        </w:trPr>
        <w:tc>
          <w:tcPr>
            <w:tcW w:type="dxa" w:w="2376"/>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Ending direction</w:t>
            </w:r>
          </w:p>
        </w:tc>
        <w:tc>
          <w:tcPr>
            <w:tcW w:type="dxa" w:w="698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The intended season consequence, even if the exact final scene remains flexible.</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trHeight w:hRule="atLeast"/>
          <w:cantSplit/>
        </w:trPr>
        <w:tc>
          <w:tcPr>
            <w:tcW w:type="dxa" w:w="936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EDF5FB" w:val="clear"/>
          </w:tcPr>
          <w:p>
            <w:pPr>
              <w:spacing w:after="40"/>
            </w:pPr>
            <w:r>
              <w:rPr>
                <w:rFonts w:ascii="Calibri" w:hAnsi="Calibri"/>
                <w:b/>
                <w:color w:val="2E74B5"/>
                <w:sz w:val="16"/>
              </w:rPr>
              <w:t>BRIEF REVIEW RULE</w:t>
            </w:r>
          </w:p>
          <w:p>
            <w:pPr>
              <w:spacing w:after="0"/>
            </w:pPr>
            <w:r>
              <w:rPr>
                <w:rFonts w:ascii="Calibri" w:hAnsi="Calibri"/>
                <w:color w:val="0B2545"/>
                <w:sz w:val="20"/>
              </w:rPr>
              <w:t>Do not begin the full 100-episode build from an untested interpretation. Episodes 1-10 are the first evidence that the brief has been understood correctly.</w:t>
            </w:r>
          </w:p>
        </w:tc>
      </w:tr>
    </w:tbl>
    <w:p>
      <w:pPr>
        <w:spacing w:after="0"/>
      </w:pPr>
    </w:p>
    <w:p>
      <w:pPr>
        <w:pStyle w:val="Heading1"/>
        <w:keepNext/>
        <w:keepLines/>
      </w:pPr>
      <w:r>
        <w:t>4. Create the private story bible</w:t>
      </w:r>
    </w:p>
    <w:p>
      <w:r>
        <w:rPr>
          <w:rFonts w:ascii="Calibri" w:hAnsi="Calibri"/>
        </w:rPr>
        <w:t>The story bible is the private source of truth. It may contain material that will not become public for many episodes. Public wiki wording is created later and must never replace the full private explanation.</w:t>
      </w:r>
    </w:p>
    <w:tbl>
      <w:tblPr>
        <w:tblW w:type="dxa" w:w="9360"/>
        <w:tblLayout w:type="fixed"/>
        <w:tblLook w:firstColumn="1" w:firstRow="1" w:lastColumn="0" w:lastRow="0" w:noHBand="0" w:noVBand="1" w:val="04A0"/>
        <w:jc w:val="left"/>
        <w:tblInd w:w="120" w:type="dxa"/>
      </w:tblPr>
      <w:tblGrid>
        <w:gridCol w:w="2376"/>
        <w:gridCol w:w="6984"/>
      </w:tblGrid>
      <w:tr>
        <w:trPr>
          <w:trHeight w:hRule="atLeast"/>
          <w:cantSplit/>
          <w:tblHeader w:val="true"/>
          <w:cantSplit/>
          <w:cantSplit/>
          <w:cantSplit/>
          <w:cantSplit/>
          <w:cantSplit/>
          <w:cantSplit/>
          <w:cantSplit/>
          <w:cantSplit/>
          <w:cantSplit/>
        </w:trPr>
        <w:tc>
          <w:tcPr>
            <w:tcW w:type="dxa" w:w="2376"/>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E8EEF5" w:val="clear"/>
          </w:tcPr>
          <w:p>
            <w:pPr>
              <w:spacing w:after="0"/>
            </w:pPr>
            <w:r>
              <w:rPr>
                <w:rFonts w:ascii="Calibri" w:hAnsi="Calibri"/>
                <w:b/>
                <w:color w:val="0B2545"/>
                <w:sz w:val="18"/>
              </w:rPr>
              <w:t>Bible section</w:t>
            </w:r>
          </w:p>
        </w:tc>
        <w:tc>
          <w:tcPr>
            <w:tcW w:type="dxa" w:w="698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E8EEF5" w:val="clear"/>
          </w:tcPr>
          <w:p>
            <w:pPr>
              <w:spacing w:after="0"/>
            </w:pPr>
            <w:r>
              <w:rPr>
                <w:rFonts w:ascii="Calibri" w:hAnsi="Calibri"/>
                <w:b/>
                <w:color w:val="0B2545"/>
                <w:sz w:val="18"/>
              </w:rPr>
              <w:t>Minimum content</w:t>
            </w:r>
          </w:p>
        </w:tc>
      </w:tr>
      <w:tr>
        <w:trPr>
          <w:trHeight w:hRule="atLeast"/>
          <w:cantSplit/>
          <w:cantSplit/>
          <w:cantSplit/>
          <w:cantSplit/>
          <w:cantSplit/>
          <w:cantSplit/>
          <w:cantSplit/>
          <w:cantSplit/>
          <w:cantSplit/>
        </w:trPr>
        <w:tc>
          <w:tcPr>
            <w:tcW w:type="dxa" w:w="2376"/>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World and ordinary life</w:t>
            </w:r>
          </w:p>
        </w:tc>
        <w:tc>
          <w:tcPr>
            <w:tcW w:type="dxa" w:w="698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Place, era, geography, institutions, technology or magic, class structure and what daily life feels like.</w:t>
            </w:r>
          </w:p>
        </w:tc>
      </w:tr>
      <w:tr>
        <w:trPr>
          <w:trHeight w:hRule="atLeast"/>
          <w:cantSplit/>
          <w:cantSplit/>
          <w:cantSplit/>
          <w:cantSplit/>
          <w:cantSplit/>
          <w:cantSplit/>
          <w:cantSplit/>
          <w:cantSplit/>
        </w:trPr>
        <w:tc>
          <w:tcPr>
            <w:tcW w:type="dxa" w:w="2376"/>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Rules and costs</w:t>
            </w:r>
          </w:p>
        </w:tc>
        <w:tc>
          <w:tcPr>
            <w:tcW w:type="dxa" w:w="698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What is possible, impossible, restricted or dangerous; what each extraordinary action costs.</w:t>
            </w:r>
          </w:p>
        </w:tc>
      </w:tr>
      <w:tr>
        <w:trPr>
          <w:trHeight w:hRule="atLeast"/>
          <w:cantSplit/>
          <w:cantSplit/>
          <w:cantSplit/>
          <w:cantSplit/>
          <w:cantSplit/>
          <w:cantSplit/>
          <w:cantSplit/>
        </w:trPr>
        <w:tc>
          <w:tcPr>
            <w:tcW w:type="dxa" w:w="2376"/>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Characters</w:t>
            </w:r>
          </w:p>
        </w:tc>
        <w:tc>
          <w:tcPr>
            <w:tcW w:type="dxa" w:w="698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Appearance, age, role, goal, fear, strengths, flaws, habits, moral boundaries, relationships and planned arc.</w:t>
            </w:r>
          </w:p>
        </w:tc>
      </w:tr>
      <w:tr>
        <w:trPr>
          <w:trHeight w:hRule="atLeast"/>
          <w:cantSplit/>
          <w:cantSplit/>
          <w:cantSplit/>
          <w:cantSplit/>
          <w:cantSplit/>
          <w:cantSplit/>
        </w:trPr>
        <w:tc>
          <w:tcPr>
            <w:tcW w:type="dxa" w:w="2376"/>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Timeline and history</w:t>
            </w:r>
          </w:p>
        </w:tc>
        <w:tc>
          <w:tcPr>
            <w:tcW w:type="dxa" w:w="698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Past events, discoveries, losses, betrayals and dates or relative order that affect the story.</w:t>
            </w:r>
          </w:p>
        </w:tc>
      </w:tr>
      <w:tr>
        <w:trPr>
          <w:trHeight w:hRule="atLeast"/>
          <w:cantSplit/>
          <w:cantSplit/>
          <w:cantSplit/>
          <w:cantSplit/>
          <w:cantSplit/>
        </w:trPr>
        <w:tc>
          <w:tcPr>
            <w:tcW w:type="dxa" w:w="2376"/>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Factions and locations</w:t>
            </w:r>
          </w:p>
        </w:tc>
        <w:tc>
          <w:tcPr>
            <w:tcW w:type="dxa" w:w="698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Purpose, leadership, values, resources, conflicts and visual identifiers.</w:t>
            </w:r>
          </w:p>
        </w:tc>
      </w:tr>
      <w:tr>
        <w:trPr>
          <w:trHeight w:hRule="atLeast"/>
          <w:cantSplit/>
          <w:cantSplit/>
          <w:cantSplit/>
          <w:cantSplit/>
        </w:trPr>
        <w:tc>
          <w:tcPr>
            <w:tcW w:type="dxa" w:w="2376"/>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Mysteries and secrets</w:t>
            </w:r>
          </w:p>
        </w:tc>
        <w:tc>
          <w:tcPr>
            <w:tcW w:type="dxa" w:w="698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The true answer, false assumptions, clue order, reveal range and consequences of discovery.</w:t>
            </w:r>
          </w:p>
        </w:tc>
      </w:tr>
      <w:tr>
        <w:trPr>
          <w:trHeight w:hRule="atLeast"/>
          <w:cantSplit/>
          <w:cantSplit/>
          <w:cantSplit/>
        </w:trPr>
        <w:tc>
          <w:tcPr>
            <w:tcW w:type="dxa" w:w="2376"/>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Canon rules</w:t>
            </w:r>
          </w:p>
        </w:tc>
        <w:tc>
          <w:tcPr>
            <w:tcW w:type="dxa" w:w="698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Facts that must not change, including any explicit exceptions.</w:t>
            </w:r>
          </w:p>
        </w:tc>
      </w:tr>
      <w:tr>
        <w:trPr>
          <w:trHeight w:hRule="atLeast"/>
          <w:cantSplit/>
          <w:cantSplit/>
        </w:trPr>
        <w:tc>
          <w:tcPr>
            <w:tcW w:type="dxa" w:w="2376"/>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Character knowledge</w:t>
            </w:r>
          </w:p>
        </w:tc>
        <w:tc>
          <w:tcPr>
            <w:tcW w:type="dxa" w:w="698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What each person knows, believes, misunderstands and learns by episode.</w:t>
            </w:r>
          </w:p>
        </w:tc>
      </w:tr>
      <w:tr>
        <w:trPr>
          <w:trHeight w:hRule="atLeast"/>
          <w:cantSplit/>
        </w:trPr>
        <w:tc>
          <w:tcPr>
            <w:tcW w:type="dxa" w:w="2376"/>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Visual identity</w:t>
            </w:r>
          </w:p>
        </w:tc>
        <w:tc>
          <w:tcPr>
            <w:tcW w:type="dxa" w:w="698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Approved appearance, clothing, colour palette, props, architecture and recurring motifs.</w:t>
            </w:r>
          </w:p>
        </w:tc>
      </w:tr>
    </w:tbl>
    <w:p>
      <w:pPr>
        <w:spacing w:after="0"/>
      </w:pPr>
    </w:p>
    <w:p>
      <w:pPr>
        <w:pStyle w:val="Heading1"/>
        <w:keepNext/>
        <w:keepLines/>
      </w:pPr>
      <w:r>
        <w:t>5. Architect the 100-episode season</w:t>
      </w:r>
    </w:p>
    <w:p>
      <w:r>
        <w:rPr>
          <w:rFonts w:ascii="Calibri" w:hAnsi="Calibri"/>
        </w:rPr>
        <w:t>A 100-episode season is managed as ten connected arcs. Each arc should deliver a meaningful consequence while changing the direction or scale of the larger story. The roadmap is deliberately lighter than a full episode outline so later batches can respond to what works.</w:t>
      </w:r>
    </w:p>
    <w:tbl>
      <w:tblPr>
        <w:tblW w:type="dxa" w:w="9360"/>
        <w:tblLayout w:type="fixed"/>
        <w:tblLook w:firstColumn="1" w:firstRow="1" w:lastColumn="0" w:lastRow="0" w:noHBand="0" w:noVBand="1" w:val="04A0"/>
        <w:jc w:val="left"/>
        <w:tblInd w:w="120" w:type="dxa"/>
      </w:tblPr>
      <w:tblGrid>
        <w:gridCol w:w="1224"/>
        <w:gridCol w:w="2664"/>
        <w:gridCol w:w="5472"/>
      </w:tblGrid>
      <w:tr>
        <w:trPr>
          <w:trHeight w:hRule="atLeast"/>
          <w:cantSplit/>
          <w:tblHeader w:val="true"/>
          <w:cantSplit/>
          <w:cantSplit/>
          <w:cantSplit/>
          <w:cantSplit/>
          <w:cantSplit/>
          <w:cantSplit/>
          <w:cantSplit/>
          <w:cantSplit/>
          <w:cantSplit/>
          <w:cantSplit/>
        </w:trPr>
        <w:tc>
          <w:tcPr>
            <w:tcW w:type="dxa" w:w="122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E8EEF5" w:val="clear"/>
          </w:tcPr>
          <w:p>
            <w:pPr>
              <w:spacing w:after="0"/>
            </w:pPr>
            <w:r>
              <w:rPr>
                <w:rFonts w:ascii="Calibri" w:hAnsi="Calibri"/>
                <w:b/>
                <w:color w:val="0B2545"/>
                <w:sz w:val="18"/>
              </w:rPr>
              <w:t>Episodes</w:t>
            </w:r>
          </w:p>
        </w:tc>
        <w:tc>
          <w:tcPr>
            <w:tcW w:type="dxa" w:w="266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E8EEF5" w:val="clear"/>
          </w:tcPr>
          <w:p>
            <w:pPr>
              <w:spacing w:after="0"/>
            </w:pPr>
            <w:r>
              <w:rPr>
                <w:rFonts w:ascii="Calibri" w:hAnsi="Calibri"/>
                <w:b/>
                <w:color w:val="0B2545"/>
                <w:sz w:val="18"/>
              </w:rPr>
              <w:t>Season function</w:t>
            </w:r>
          </w:p>
        </w:tc>
        <w:tc>
          <w:tcPr>
            <w:tcW w:type="dxa" w:w="547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E8EEF5" w:val="clear"/>
          </w:tcPr>
          <w:p>
            <w:pPr>
              <w:spacing w:after="0"/>
            </w:pPr>
            <w:r>
              <w:rPr>
                <w:rFonts w:ascii="Calibri" w:hAnsi="Calibri"/>
                <w:b/>
                <w:color w:val="0B2545"/>
                <w:sz w:val="18"/>
              </w:rPr>
              <w:t>Required outcome</w:t>
            </w:r>
          </w:p>
        </w:tc>
      </w:tr>
      <w:tr>
        <w:trPr>
          <w:trHeight w:hRule="atLeast"/>
          <w:cantSplit/>
          <w:cantSplit/>
          <w:cantSplit/>
          <w:cantSplit/>
          <w:cantSplit/>
          <w:cantSplit/>
          <w:cantSplit/>
          <w:cantSplit/>
          <w:cantSplit/>
          <w:cantSplit/>
        </w:trPr>
        <w:tc>
          <w:tcPr>
            <w:tcW w:type="dxa" w:w="122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1-10</w:t>
            </w:r>
          </w:p>
        </w:tc>
        <w:tc>
          <w:tcPr>
            <w:tcW w:type="dxa" w:w="266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Promise and disruption</w:t>
            </w:r>
          </w:p>
        </w:tc>
        <w:tc>
          <w:tcPr>
            <w:tcW w:type="dxa" w:w="547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Establish the ordinary world, the protagonist’s wants, principal relationships and the distinctive series promise. Introduce the disruption by Episodes 2–3; let consequences and personal stakes develop; end Episode 10 with a revelation, loss or choice that creates a new objective. Protect the central mystery and reserve irreversible commitment for Episodes 11–20.</w:t>
            </w:r>
          </w:p>
        </w:tc>
      </w:tr>
      <w:tr>
        <w:trPr>
          <w:trHeight w:hRule="atLeast"/>
          <w:cantSplit/>
          <w:cantSplit/>
          <w:cantSplit/>
          <w:cantSplit/>
          <w:cantSplit/>
          <w:cantSplit/>
          <w:cantSplit/>
          <w:cantSplit/>
          <w:cantSplit/>
        </w:trPr>
        <w:tc>
          <w:tcPr>
            <w:tcW w:type="dxa" w:w="122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11-20</w:t>
            </w:r>
          </w:p>
        </w:tc>
        <w:tc>
          <w:tcPr>
            <w:tcW w:type="dxa" w:w="266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Commitment</w:t>
            </w:r>
          </w:p>
        </w:tc>
        <w:tc>
          <w:tcPr>
            <w:tcW w:type="dxa" w:w="547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The characters cross a line that makes returning to the old life difficult.</w:t>
            </w:r>
          </w:p>
        </w:tc>
      </w:tr>
      <w:tr>
        <w:trPr>
          <w:trHeight w:hRule="atLeast"/>
          <w:cantSplit/>
          <w:cantSplit/>
          <w:cantSplit/>
          <w:cantSplit/>
          <w:cantSplit/>
          <w:cantSplit/>
          <w:cantSplit/>
          <w:cantSplit/>
        </w:trPr>
        <w:tc>
          <w:tcPr>
            <w:tcW w:type="dxa" w:w="122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21-30</w:t>
            </w:r>
          </w:p>
        </w:tc>
        <w:tc>
          <w:tcPr>
            <w:tcW w:type="dxa" w:w="266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Expansion</w:t>
            </w:r>
          </w:p>
        </w:tc>
        <w:tc>
          <w:tcPr>
            <w:tcW w:type="dxa" w:w="547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Reveal a broader location, faction, power or consequence.</w:t>
            </w:r>
          </w:p>
        </w:tc>
      </w:tr>
      <w:tr>
        <w:trPr>
          <w:trHeight w:hRule="atLeast"/>
          <w:cantSplit/>
          <w:cantSplit/>
          <w:cantSplit/>
          <w:cantSplit/>
          <w:cantSplit/>
          <w:cantSplit/>
          <w:cantSplit/>
        </w:trPr>
        <w:tc>
          <w:tcPr>
            <w:tcW w:type="dxa" w:w="122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31-40</w:t>
            </w:r>
          </w:p>
        </w:tc>
        <w:tc>
          <w:tcPr>
            <w:tcW w:type="dxa" w:w="266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Pressure</w:t>
            </w:r>
          </w:p>
        </w:tc>
        <w:tc>
          <w:tcPr>
            <w:tcW w:type="dxa" w:w="547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Increase personal cost; expose a weakness in the group or its plan.</w:t>
            </w:r>
          </w:p>
        </w:tc>
      </w:tr>
      <w:tr>
        <w:trPr>
          <w:trHeight w:hRule="atLeast"/>
          <w:cantSplit/>
          <w:cantSplit/>
          <w:cantSplit/>
          <w:cantSplit/>
          <w:cantSplit/>
          <w:cantSplit/>
        </w:trPr>
        <w:tc>
          <w:tcPr>
            <w:tcW w:type="dxa" w:w="122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41-50</w:t>
            </w:r>
          </w:p>
        </w:tc>
        <w:tc>
          <w:tcPr>
            <w:tcW w:type="dxa" w:w="266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Midpoint transformation</w:t>
            </w:r>
          </w:p>
        </w:tc>
        <w:tc>
          <w:tcPr>
            <w:tcW w:type="dxa" w:w="547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Deliver a major answer or reversal that changes the meaning of the first half.</w:t>
            </w:r>
          </w:p>
        </w:tc>
      </w:tr>
      <w:tr>
        <w:trPr>
          <w:trHeight w:hRule="atLeast"/>
          <w:cantSplit/>
          <w:cantSplit/>
          <w:cantSplit/>
          <w:cantSplit/>
          <w:cantSplit/>
        </w:trPr>
        <w:tc>
          <w:tcPr>
            <w:tcW w:type="dxa" w:w="122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51-60</w:t>
            </w:r>
          </w:p>
        </w:tc>
        <w:tc>
          <w:tcPr>
            <w:tcW w:type="dxa" w:w="266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Aftershock</w:t>
            </w:r>
          </w:p>
        </w:tc>
        <w:tc>
          <w:tcPr>
            <w:tcW w:type="dxa" w:w="547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Force the cast to adapt to the midpoint truth and choose new objectives.</w:t>
            </w:r>
          </w:p>
        </w:tc>
      </w:tr>
      <w:tr>
        <w:trPr>
          <w:trHeight w:hRule="atLeast"/>
          <w:cantSplit/>
          <w:cantSplit/>
          <w:cantSplit/>
          <w:cantSplit/>
        </w:trPr>
        <w:tc>
          <w:tcPr>
            <w:tcW w:type="dxa" w:w="122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61-70</w:t>
            </w:r>
          </w:p>
        </w:tc>
        <w:tc>
          <w:tcPr>
            <w:tcW w:type="dxa" w:w="266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Convergence</w:t>
            </w:r>
          </w:p>
        </w:tc>
        <w:tc>
          <w:tcPr>
            <w:tcW w:type="dxa" w:w="547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Bring apparently separate conflicts, clues or relationships together.</w:t>
            </w:r>
          </w:p>
        </w:tc>
      </w:tr>
      <w:tr>
        <w:trPr>
          <w:trHeight w:hRule="atLeast"/>
          <w:cantSplit/>
          <w:cantSplit/>
          <w:cantSplit/>
        </w:trPr>
        <w:tc>
          <w:tcPr>
            <w:tcW w:type="dxa" w:w="122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71-80</w:t>
            </w:r>
          </w:p>
        </w:tc>
        <w:tc>
          <w:tcPr>
            <w:tcW w:type="dxa" w:w="266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Loss and narrowing choices</w:t>
            </w:r>
          </w:p>
        </w:tc>
        <w:tc>
          <w:tcPr>
            <w:tcW w:type="dxa" w:w="547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Remove an easy solution and make the final conflict unavoidable.</w:t>
            </w:r>
          </w:p>
        </w:tc>
      </w:tr>
      <w:tr>
        <w:trPr>
          <w:trHeight w:hRule="atLeast"/>
          <w:cantSplit/>
          <w:cantSplit/>
        </w:trPr>
        <w:tc>
          <w:tcPr>
            <w:tcW w:type="dxa" w:w="122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81-90</w:t>
            </w:r>
          </w:p>
        </w:tc>
        <w:tc>
          <w:tcPr>
            <w:tcW w:type="dxa" w:w="266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Final approach</w:t>
            </w:r>
          </w:p>
        </w:tc>
        <w:tc>
          <w:tcPr>
            <w:tcW w:type="dxa" w:w="547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Resolve secondary arcs, assemble resources and reveal the true final obstacle.</w:t>
            </w:r>
          </w:p>
        </w:tc>
      </w:tr>
      <w:tr>
        <w:trPr>
          <w:trHeight w:hRule="atLeast"/>
          <w:cantSplit/>
        </w:trPr>
        <w:tc>
          <w:tcPr>
            <w:tcW w:type="dxa" w:w="122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91-100</w:t>
            </w:r>
          </w:p>
        </w:tc>
        <w:tc>
          <w:tcPr>
            <w:tcW w:type="dxa" w:w="266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Climax and consequence</w:t>
            </w:r>
          </w:p>
        </w:tc>
        <w:tc>
          <w:tcPr>
            <w:tcW w:type="dxa" w:w="547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Pay off the season promise, answer the main seasonal question and establish the next direction.</w:t>
            </w:r>
          </w:p>
        </w:tc>
      </w:tr>
    </w:tbl>
    <w:p>
      <w:pPr>
        <w:pStyle w:val="Heading2"/>
      </w:pPr>
      <w:r>
        <w:t>5.1 Opening-arc pacing</w:t>
      </w:r>
    </w:p>
    <w:p>
      <w:pPr/>
      <w:r>
        <w:t>Use this as a directional rhythm rather than a compulsory formula. The opening batch should earn curiosity and commitment without behaving like a compressed complete quest.</w:t>
      </w:r>
    </w:p>
    <w:tbl>
      <w:tblPr>
        <w:tblW w:type="dxa" w:w="9360"/>
        <w:tblLayout w:type="fixed"/>
        <w:tblLook w:firstColumn="1" w:firstRow="1" w:lastColumn="0" w:lastRow="0" w:noHBand="0" w:noVBand="1" w:val="04A0"/>
        <w:jc w:val="left"/>
        <w:tblInd w:w="120" w:type="dxa"/>
      </w:tblPr>
      <w:tblGrid>
        <w:gridCol w:w="2232"/>
        <w:gridCol w:w="7128"/>
      </w:tblGrid>
      <w:tr>
        <w:trPr>
          <w:trHeight w:hRule="atLeast"/>
          <w:cantSplit/>
          <w:tblHeader w:val="true"/>
          <w:cantSplit/>
          <w:cantSplit/>
          <w:cantSplit/>
          <w:cantSplit/>
          <w:cantSplit/>
          <w:cantSplit/>
          <w:cantSplit/>
          <w:cantSplit/>
          <w:cantSplit/>
          <w:cantSplit/>
        </w:trPr>
        <w:tc>
          <w:tcPr>
            <w:tcW w:type="dxa" w:w="223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E8EEF5" w:val="clear"/>
          </w:tcPr>
          <w:p>
            <w:pPr>
              <w:spacing w:after="0"/>
            </w:pPr>
            <w:r>
              <w:rPr>
                <w:rFonts w:ascii="Calibri" w:hAnsi="Calibri"/>
                <w:b/>
                <w:color w:val="0B2545"/>
                <w:sz w:val="18"/>
              </w:rPr>
              <w:t>Episodes</w:t>
            </w:r>
          </w:p>
        </w:tc>
        <w:tc>
          <w:tcPr>
            <w:tcW w:type="dxa" w:w="712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E8EEF5" w:val="clear"/>
          </w:tcPr>
          <w:p>
            <w:pPr>
              <w:spacing w:after="0"/>
            </w:pPr>
            <w:r>
              <w:rPr>
                <w:rFonts w:ascii="Calibri" w:hAnsi="Calibri"/>
                <w:b/>
                <w:color w:val="0B2545"/>
                <w:sz w:val="18"/>
              </w:rPr>
              <w:t>Opening-arc function</w:t>
            </w:r>
          </w:p>
        </w:tc>
      </w:tr>
      <w:tr>
        <w:trPr>
          <w:trHeight w:hRule="atLeast"/>
          <w:cantSplit/>
          <w:cantSplit/>
          <w:cantSplit/>
          <w:cantSplit/>
          <w:cantSplit/>
          <w:cantSplit/>
          <w:cantSplit/>
          <w:cantSplit/>
          <w:cantSplit/>
          <w:cantSplit/>
        </w:trPr>
        <w:tc>
          <w:tcPr>
            <w:tcW w:type="dxa" w:w="223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1–2</w:t>
            </w:r>
          </w:p>
        </w:tc>
        <w:tc>
          <w:tcPr>
            <w:tcW w:type="dxa" w:w="712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Ordinary world, character appeal and the distinctive story promise.</w:t>
            </w:r>
          </w:p>
        </w:tc>
      </w:tr>
      <w:tr>
        <w:trPr>
          <w:trHeight w:hRule="atLeast"/>
          <w:cantSplit/>
          <w:cantSplit/>
          <w:cantSplit/>
          <w:cantSplit/>
          <w:cantSplit/>
          <w:cantSplit/>
          <w:cantSplit/>
          <w:cantSplit/>
          <w:cantSplit/>
        </w:trPr>
        <w:tc>
          <w:tcPr>
            <w:tcW w:type="dxa" w:w="223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3–4</w:t>
            </w:r>
          </w:p>
        </w:tc>
        <w:tc>
          <w:tcPr>
            <w:tcW w:type="dxa" w:w="712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The disruption becomes real and can no longer be ignored.</w:t>
            </w:r>
          </w:p>
        </w:tc>
      </w:tr>
      <w:tr>
        <w:trPr>
          <w:trHeight w:hRule="atLeast"/>
          <w:cantSplit/>
          <w:cantSplit/>
          <w:cantSplit/>
          <w:cantSplit/>
          <w:cantSplit/>
          <w:cantSplit/>
          <w:cantSplit/>
          <w:cantSplit/>
        </w:trPr>
        <w:tc>
          <w:tcPr>
            <w:tcW w:type="dxa" w:w="223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5–6</w:t>
            </w:r>
          </w:p>
        </w:tc>
        <w:tc>
          <w:tcPr>
            <w:tcW w:type="dxa" w:w="712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Investigation or reaction develops the personal stakes.</w:t>
            </w:r>
          </w:p>
        </w:tc>
      </w:tr>
      <w:tr>
        <w:trPr>
          <w:trHeight w:hRule="atLeast"/>
          <w:cantSplit/>
          <w:cantSplit/>
          <w:cantSplit/>
          <w:cantSplit/>
          <w:cantSplit/>
          <w:cantSplit/>
          <w:cantSplit/>
        </w:trPr>
        <w:tc>
          <w:tcPr>
            <w:tcW w:type="dxa" w:w="223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7–8</w:t>
            </w:r>
          </w:p>
        </w:tc>
        <w:tc>
          <w:tcPr>
            <w:tcW w:type="dxa" w:w="712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A failed response, group friction or hidden cost complicates the path.</w:t>
            </w:r>
          </w:p>
        </w:tc>
      </w:tr>
      <w:tr>
        <w:trPr>
          <w:trHeight w:hRule="atLeast"/>
          <w:cantSplit/>
          <w:cantSplit/>
          <w:cantSplit/>
          <w:cantSplit/>
          <w:cantSplit/>
          <w:cantSplit/>
        </w:trPr>
        <w:tc>
          <w:tcPr>
            <w:tcW w:type="dxa" w:w="223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9–10</w:t>
            </w:r>
          </w:p>
        </w:tc>
        <w:tc>
          <w:tcPr>
            <w:tcW w:type="dxa" w:w="712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A first major consequence creates the next objective.</w:t>
            </w:r>
          </w:p>
        </w:tc>
      </w:tr>
    </w:tbl>
    <w:p>
      <w:pPr>
        <w:spacing w:after="0"/>
      </w:pPr>
    </w:p>
    <w:p>
      <w:pPr>
        <w:numPr>
          <w:ilvl w:val="0"/>
          <w:numId w:val="10"/>
        </w:numPr>
        <w:spacing w:after="80" w:line="300" w:lineRule="auto"/>
        <w:ind w:left="540" w:hanging="271"/>
      </w:pPr>
      <w:r>
        <w:rPr>
          <w:rFonts w:ascii="Calibri" w:hAnsi="Calibri"/>
        </w:rPr>
        <w:t>Every ten-episode arc needs its own objective, escalation, reversal, consequence and bridge into the next arc.</w:t>
      </w:r>
    </w:p>
    <w:p>
      <w:pPr>
        <w:numPr>
          <w:ilvl w:val="0"/>
          <w:numId w:val="10"/>
        </w:numPr>
        <w:spacing w:after="80" w:line="300" w:lineRule="auto"/>
        <w:ind w:left="540" w:hanging="271"/>
      </w:pPr>
      <w:r>
        <w:rPr>
          <w:rFonts w:ascii="Calibri" w:hAnsi="Calibri"/>
        </w:rPr>
        <w:t>Major reveals must be assigned an intended episode range before drafting; do not release several foundational answers accidentally in the opening batch.</w:t>
      </w:r>
    </w:p>
    <w:p>
      <w:pPr>
        <w:numPr>
          <w:ilvl w:val="0"/>
          <w:numId w:val="10"/>
        </w:numPr>
        <w:spacing w:after="80" w:line="300" w:lineRule="auto"/>
        <w:ind w:left="540" w:hanging="271"/>
      </w:pPr>
      <w:r>
        <w:rPr>
          <w:rFonts w:ascii="Calibri" w:hAnsi="Calibri"/>
        </w:rPr>
        <w:t>A roadmap may change after a batch review, but the private story bible and downstream episodes must be updated together.</w:t>
      </w:r>
    </w:p>
    <w:p>
      <w:pPr>
        <w:numPr>
          <w:ilvl w:val="0"/>
          <w:numId w:val="10"/>
        </w:numPr>
        <w:spacing w:after="80" w:line="300" w:lineRule="auto"/>
        <w:ind w:left="540" w:hanging="271"/>
      </w:pPr>
      <w:r>
        <w:rPr>
          <w:rFonts w:ascii="Calibri" w:hAnsi="Calibri"/>
        </w:rPr>
        <w:t>The first ten episodes are fully written. Episodes 11-100 remain at roadmap or outline level until the preceding batch is reviewed.</w:t>
      </w:r>
    </w:p>
    <w:p>
      <w:pPr>
        <w:pStyle w:val="Heading1"/>
        <w:keepNext/>
        <w:keepLines/>
      </w:pPr>
      <w:r>
        <w:t>6. Produce Episodes 1-10 as the review batch</w:t>
      </w:r>
    </w:p>
    <w:p>
      <w:r>
        <w:rPr>
          <w:rFonts w:ascii="Calibri" w:hAnsi="Calibri"/>
        </w:rPr>
        <w:t>The first batch is a prototype of the whole production system. It is long enough to test character chemistry, pacing, continuity, episode endings and the story's capacity to sustain interest, without committing to all 100 episodes.</w:t>
      </w:r>
    </w:p>
    <w:p>
      <w:pPr/>
      <w:r>
        <w:t>The batch is not a miniature complete season. It should demonstrate the series promise and earn the transition into Commitment without resolving the central question.</w:t>
      </w:r>
    </w:p>
    <w:p>
      <w:pPr>
        <w:numPr>
          <w:ilvl w:val="0"/>
          <w:numId w:val="11"/>
        </w:numPr>
        <w:spacing w:after="80" w:line="300" w:lineRule="auto"/>
        <w:ind w:left="540" w:hanging="271"/>
      </w:pPr>
      <w:r>
        <w:rPr>
          <w:rFonts w:ascii="Calibri" w:hAnsi="Calibri"/>
        </w:rPr>
        <w:t>Prepare a ten-row episode plan before drafting prose.</w:t>
      </w:r>
    </w:p>
    <w:p>
      <w:pPr>
        <w:numPr>
          <w:ilvl w:val="0"/>
          <w:numId w:val="11"/>
        </w:numPr>
        <w:spacing w:after="80" w:line="300" w:lineRule="auto"/>
        <w:ind w:left="540" w:hanging="271"/>
      </w:pPr>
      <w:r>
        <w:rPr>
          <w:rFonts w:ascii="Calibri" w:hAnsi="Calibri"/>
        </w:rPr>
        <w:t>Check that Episodes 1-10 collectively deliver the first season arc and do not behave like ten unrelated openings.</w:t>
      </w:r>
    </w:p>
    <w:p>
      <w:pPr>
        <w:numPr>
          <w:ilvl w:val="0"/>
          <w:numId w:val="11"/>
        </w:numPr>
        <w:spacing w:after="80" w:line="300" w:lineRule="auto"/>
        <w:ind w:left="540" w:hanging="271"/>
      </w:pPr>
      <w:r>
        <w:rPr>
          <w:rFonts w:ascii="Calibri" w:hAnsi="Calibri"/>
        </w:rPr>
        <w:t>Draft each episode in sequence using the approved story bible and episode card.</w:t>
      </w:r>
    </w:p>
    <w:p>
      <w:pPr>
        <w:numPr>
          <w:ilvl w:val="0"/>
          <w:numId w:val="11"/>
        </w:numPr>
        <w:spacing w:after="80" w:line="300" w:lineRule="auto"/>
        <w:ind w:left="540" w:hanging="271"/>
      </w:pPr>
      <w:r>
        <w:rPr>
          <w:rFonts w:ascii="Calibri" w:hAnsi="Calibri"/>
        </w:rPr>
        <w:t>Complete a continuity pass across all ten episodes, not only within each episode.</w:t>
      </w:r>
    </w:p>
    <w:p>
      <w:pPr>
        <w:numPr>
          <w:ilvl w:val="0"/>
          <w:numId w:val="11"/>
        </w:numPr>
        <w:spacing w:after="80" w:line="300" w:lineRule="auto"/>
        <w:ind w:left="540" w:hanging="271"/>
      </w:pPr>
      <w:r>
        <w:rPr>
          <w:rFonts w:ascii="Calibri" w:hAnsi="Calibri"/>
        </w:rPr>
        <w:t>Prepare one artwork brief per episode and the story-level cover/banner briefs.</w:t>
      </w:r>
    </w:p>
    <w:p>
      <w:pPr>
        <w:numPr>
          <w:ilvl w:val="0"/>
          <w:numId w:val="11"/>
        </w:numPr>
        <w:spacing w:after="80" w:line="300" w:lineRule="auto"/>
        <w:ind w:left="540" w:hanging="271"/>
      </w:pPr>
      <w:r>
        <w:rPr>
          <w:rFonts w:ascii="Calibri" w:hAnsi="Calibri"/>
        </w:rPr>
        <w:t>Read the complete batch in order and record brief-compliance and output-quality findings separately.</w:t>
      </w:r>
    </w:p>
    <w:p>
      <w:pPr>
        <w:numPr>
          <w:ilvl w:val="0"/>
          <w:numId w:val="11"/>
        </w:numPr>
        <w:spacing w:after="80" w:line="300" w:lineRule="auto"/>
        <w:ind w:left="540" w:hanging="271"/>
      </w:pPr>
      <w:r>
        <w:rPr>
          <w:rFonts w:ascii="Calibri" w:hAnsi="Calibri"/>
        </w:rPr>
        <w:t>Revise the batch and the 100-episode roadmap where the evidence justifies a change.</w:t>
      </w:r>
    </w:p>
    <w:p>
      <w:pPr>
        <w:numPr>
          <w:ilvl w:val="0"/>
          <w:numId w:val="11"/>
        </w:numPr>
        <w:spacing w:after="80" w:line="300" w:lineRule="auto"/>
        <w:ind w:left="540" w:hanging="271"/>
      </w:pPr>
      <w:r>
        <w:rPr>
          <w:rFonts w:ascii="Calibri" w:hAnsi="Calibri"/>
        </w:rPr>
        <w:t>Authorise Episodes 11-20 only after the batch has a recorded approval decision.</w:t>
      </w:r>
    </w:p>
    <w:tbl>
      <w:tblPr>
        <w:tblW w:type="dxa" w:w="9360"/>
        <w:tblLayout w:type="fixed"/>
        <w:tblLook w:firstColumn="1" w:firstRow="1" w:lastColumn="0" w:lastRow="0" w:noHBand="0" w:noVBand="1" w:val="04A0"/>
        <w:jc w:val="left"/>
        <w:tblInd w:w="120" w:type="dxa"/>
      </w:tblPr>
      <w:tblGrid>
        <w:gridCol w:w="2232"/>
        <w:gridCol w:w="7128"/>
      </w:tblGrid>
      <w:tr>
        <w:trPr>
          <w:trHeight w:hRule="atLeast"/>
          <w:cantSplit/>
          <w:tblHeader w:val="true"/>
          <w:cantSplit/>
          <w:cantSplit/>
          <w:cantSplit/>
          <w:cantSplit/>
          <w:cantSplit/>
          <w:cantSplit/>
          <w:cantSplit/>
          <w:cantSplit/>
          <w:cantSplit/>
          <w:cantSplit/>
        </w:trPr>
        <w:tc>
          <w:tcPr>
            <w:tcW w:type="dxa" w:w="223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E8EEF5" w:val="clear"/>
          </w:tcPr>
          <w:p>
            <w:pPr>
              <w:spacing w:after="0"/>
            </w:pPr>
            <w:r>
              <w:rPr>
                <w:rFonts w:ascii="Calibri" w:hAnsi="Calibri"/>
                <w:b/>
                <w:color w:val="0B2545"/>
                <w:sz w:val="18"/>
              </w:rPr>
              <w:t>Episode card field</w:t>
            </w:r>
          </w:p>
        </w:tc>
        <w:tc>
          <w:tcPr>
            <w:tcW w:type="dxa" w:w="712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E8EEF5" w:val="clear"/>
          </w:tcPr>
          <w:p>
            <w:pPr>
              <w:spacing w:after="0"/>
            </w:pPr>
            <w:r>
              <w:rPr>
                <w:rFonts w:ascii="Calibri" w:hAnsi="Calibri"/>
                <w:b/>
                <w:color w:val="0B2545"/>
                <w:sz w:val="18"/>
              </w:rPr>
              <w:t>Required instruction</w:t>
            </w:r>
          </w:p>
        </w:tc>
      </w:tr>
      <w:tr>
        <w:trPr>
          <w:trHeight w:hRule="atLeast"/>
          <w:cantSplit/>
          <w:cantSplit/>
          <w:cantSplit/>
          <w:cantSplit/>
          <w:cantSplit/>
          <w:cantSplit/>
          <w:cantSplit/>
          <w:cantSplit/>
          <w:cantSplit/>
          <w:cantSplit/>
        </w:trPr>
        <w:tc>
          <w:tcPr>
            <w:tcW w:type="dxa" w:w="223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Season and episode</w:t>
            </w:r>
          </w:p>
        </w:tc>
        <w:tc>
          <w:tcPr>
            <w:tcW w:type="dxa" w:w="712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Use stable numbering, for example Season 1, Episode 1.</w:t>
            </w:r>
          </w:p>
        </w:tc>
      </w:tr>
      <w:tr>
        <w:trPr>
          <w:trHeight w:hRule="atLeast"/>
          <w:cantSplit/>
          <w:cantSplit/>
          <w:cantSplit/>
          <w:cantSplit/>
          <w:cantSplit/>
          <w:cantSplit/>
          <w:cantSplit/>
          <w:cantSplit/>
          <w:cantSplit/>
        </w:trPr>
        <w:tc>
          <w:tcPr>
            <w:tcW w:type="dxa" w:w="223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Title</w:t>
            </w:r>
          </w:p>
        </w:tc>
        <w:tc>
          <w:tcPr>
            <w:tcW w:type="dxa" w:w="712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Short, distinctive and connected to the episode's defining event.</w:t>
            </w:r>
          </w:p>
        </w:tc>
      </w:tr>
      <w:tr>
        <w:trPr>
          <w:trHeight w:hRule="atLeast"/>
          <w:cantSplit/>
          <w:cantSplit/>
          <w:cantSplit/>
          <w:cantSplit/>
          <w:cantSplit/>
          <w:cantSplit/>
          <w:cantSplit/>
          <w:cantSplit/>
        </w:trPr>
        <w:tc>
          <w:tcPr>
            <w:tcW w:type="dxa" w:w="223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Summary</w:t>
            </w:r>
          </w:p>
        </w:tc>
        <w:tc>
          <w:tcPr>
            <w:tcW w:type="dxa" w:w="712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One compact, spoiler-controlled paragraph describing the episode promise.</w:t>
            </w:r>
          </w:p>
        </w:tc>
      </w:tr>
      <w:tr>
        <w:trPr>
          <w:trHeight w:hRule="atLeast"/>
          <w:cantSplit/>
          <w:cantSplit/>
          <w:cantSplit/>
          <w:cantSplit/>
          <w:cantSplit/>
          <w:cantSplit/>
          <w:cantSplit/>
        </w:trPr>
        <w:tc>
          <w:tcPr>
            <w:tcW w:type="dxa" w:w="223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Opening image</w:t>
            </w:r>
          </w:p>
        </w:tc>
        <w:tc>
          <w:tcPr>
            <w:tcW w:type="dxa" w:w="712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The first concrete moment that places the reader in the scene.</w:t>
            </w:r>
          </w:p>
        </w:tc>
      </w:tr>
      <w:tr>
        <w:trPr>
          <w:trHeight w:hRule="atLeast"/>
          <w:cantSplit/>
          <w:cantSplit/>
          <w:cantSplit/>
          <w:cantSplit/>
          <w:cantSplit/>
          <w:cantSplit/>
        </w:trPr>
        <w:tc>
          <w:tcPr>
            <w:tcW w:type="dxa" w:w="223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Objective</w:t>
            </w:r>
          </w:p>
        </w:tc>
        <w:tc>
          <w:tcPr>
            <w:tcW w:type="dxa" w:w="712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What the viewpoint character wants during this episode.</w:t>
            </w:r>
          </w:p>
        </w:tc>
      </w:tr>
      <w:tr>
        <w:trPr>
          <w:trHeight w:hRule="atLeast"/>
          <w:cantSplit/>
          <w:cantSplit/>
          <w:cantSplit/>
          <w:cantSplit/>
          <w:cantSplit/>
        </w:trPr>
        <w:tc>
          <w:tcPr>
            <w:tcW w:type="dxa" w:w="223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Obstacle</w:t>
            </w:r>
          </w:p>
        </w:tc>
        <w:tc>
          <w:tcPr>
            <w:tcW w:type="dxa" w:w="712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The opposition, uncertainty or cost that prevents an easy result.</w:t>
            </w:r>
          </w:p>
        </w:tc>
      </w:tr>
      <w:tr>
        <w:trPr>
          <w:trHeight w:hRule="atLeast"/>
          <w:cantSplit/>
          <w:cantSplit/>
          <w:cantSplit/>
          <w:cantSplit/>
        </w:trPr>
        <w:tc>
          <w:tcPr>
            <w:tcW w:type="dxa" w:w="223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Turn</w:t>
            </w:r>
          </w:p>
        </w:tc>
        <w:tc>
          <w:tcPr>
            <w:tcW w:type="dxa" w:w="712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The discovery, decision or reversal that changes the situation.</w:t>
            </w:r>
          </w:p>
        </w:tc>
      </w:tr>
      <w:tr>
        <w:trPr>
          <w:trHeight w:hRule="atLeast"/>
          <w:cantSplit/>
          <w:cantSplit/>
          <w:cantSplit/>
        </w:trPr>
        <w:tc>
          <w:tcPr>
            <w:tcW w:type="dxa" w:w="223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Ending hook</w:t>
            </w:r>
          </w:p>
        </w:tc>
        <w:tc>
          <w:tcPr>
            <w:tcW w:type="dxa" w:w="712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A consequence or question that earns the next episode.</w:t>
            </w:r>
          </w:p>
        </w:tc>
      </w:tr>
      <w:tr>
        <w:trPr>
          <w:trHeight w:hRule="atLeast"/>
          <w:cantSplit/>
          <w:cantSplit/>
        </w:trPr>
        <w:tc>
          <w:tcPr>
            <w:tcW w:type="dxa" w:w="223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Continuity changes</w:t>
            </w:r>
          </w:p>
        </w:tc>
        <w:tc>
          <w:tcPr>
            <w:tcW w:type="dxa" w:w="712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New facts, injuries, possessions, relationships, locations, promises and character knowledge.</w:t>
            </w:r>
          </w:p>
        </w:tc>
      </w:tr>
      <w:tr>
        <w:trPr>
          <w:trHeight w:hRule="atLeast"/>
          <w:cantSplit/>
        </w:trPr>
        <w:tc>
          <w:tcPr>
            <w:tcW w:type="dxa" w:w="223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Artwork brief</w:t>
            </w:r>
          </w:p>
        </w:tc>
        <w:tc>
          <w:tcPr>
            <w:tcW w:type="dxa" w:w="712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One distinct visual event, approved character description, setting, mood and focal object.</w:t>
            </w:r>
          </w:p>
        </w:tc>
      </w:tr>
    </w:tbl>
    <w:p>
      <w:pPr>
        <w:spacing w:after="0"/>
      </w:pPr>
    </w:p>
    <w:p>
      <w:pPr>
        <w:pStyle w:val="Heading1"/>
        <w:keepNext/>
        <w:keepLines/>
      </w:pPr>
      <w:r>
        <w:t>7. Episode writing standard</w:t>
      </w:r>
    </w:p>
    <w:tbl>
      <w:tblPr>
        <w:tblW w:type="dxa" w:w="9360"/>
        <w:tblLayout w:type="fixed"/>
        <w:tblLook w:firstColumn="1" w:firstRow="1" w:lastColumn="0" w:lastRow="0" w:noHBand="0" w:noVBand="1" w:val="04A0"/>
        <w:jc w:val="left"/>
        <w:tblInd w:w="120" w:type="dxa"/>
      </w:tblPr>
      <w:tblGrid>
        <w:gridCol w:w="1944"/>
        <w:gridCol w:w="7416"/>
      </w:tblGrid>
      <w:tr>
        <w:trPr>
          <w:trHeight w:hRule="atLeast"/>
          <w:cantSplit/>
          <w:tblHeader w:val="true"/>
          <w:cantSplit/>
          <w:cantSplit/>
          <w:cantSplit/>
          <w:cantSplit/>
          <w:cantSplit/>
          <w:cantSplit/>
          <w:cantSplit/>
          <w:cantSplit/>
        </w:trPr>
        <w:tc>
          <w:tcPr>
            <w:tcW w:type="dxa" w:w="194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E8EEF5" w:val="clear"/>
          </w:tcPr>
          <w:p>
            <w:pPr>
              <w:spacing w:after="0"/>
            </w:pPr>
            <w:r>
              <w:rPr>
                <w:rFonts w:ascii="Calibri" w:hAnsi="Calibri"/>
                <w:b/>
                <w:color w:val="0B2545"/>
                <w:sz w:val="18"/>
              </w:rPr>
              <w:t>Standard</w:t>
            </w:r>
          </w:p>
        </w:tc>
        <w:tc>
          <w:tcPr>
            <w:tcW w:type="dxa" w:w="7416"/>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E8EEF5" w:val="clear"/>
          </w:tcPr>
          <w:p>
            <w:pPr>
              <w:spacing w:after="0"/>
            </w:pPr>
            <w:r>
              <w:rPr>
                <w:rFonts w:ascii="Calibri" w:hAnsi="Calibri"/>
                <w:b/>
                <w:color w:val="0B2545"/>
                <w:sz w:val="18"/>
              </w:rPr>
              <w:t>Requirement</w:t>
            </w:r>
          </w:p>
        </w:tc>
      </w:tr>
      <w:tr>
        <w:trPr>
          <w:trHeight w:hRule="atLeast"/>
          <w:cantSplit/>
          <w:cantSplit/>
          <w:cantSplit/>
          <w:cantSplit/>
          <w:cantSplit/>
          <w:cantSplit/>
          <w:cantSplit/>
          <w:cantSplit/>
        </w:trPr>
        <w:tc>
          <w:tcPr>
            <w:tcW w:type="dxa" w:w="194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Length</w:t>
            </w:r>
          </w:p>
        </w:tc>
        <w:tc>
          <w:tcPr>
            <w:tcW w:type="dxa" w:w="7416"/>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Flexible working range. Most episodes will be about 900–1,300 words. Approximately 700–900 words may suit a tightly focused beat, while 1,300–1,600 words may suit an emotional confrontation, major revelation or arc climax. Above 1,600 words, check for a natural episode break. Completeness and pacing take priority over uniform length.</w:t>
            </w:r>
          </w:p>
        </w:tc>
      </w:tr>
      <w:tr>
        <w:trPr>
          <w:trHeight w:hRule="atLeast"/>
          <w:cantSplit/>
          <w:cantSplit/>
          <w:cantSplit/>
          <w:cantSplit/>
          <w:cantSplit/>
          <w:cantSplit/>
          <w:cantSplit/>
        </w:trPr>
        <w:tc>
          <w:tcPr>
            <w:tcW w:type="dxa" w:w="194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Structure</w:t>
            </w:r>
          </w:p>
        </w:tc>
        <w:tc>
          <w:tcPr>
            <w:tcW w:type="dxa" w:w="7416"/>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Each episode requires an opening situation, objective, obstacle, meaningful turn and ending consequence.</w:t>
            </w:r>
          </w:p>
        </w:tc>
      </w:tr>
      <w:tr>
        <w:trPr>
          <w:trHeight w:hRule="atLeast"/>
          <w:cantSplit/>
          <w:cantSplit/>
          <w:cantSplit/>
          <w:cantSplit/>
          <w:cantSplit/>
          <w:cantSplit/>
          <w:cantSplit/>
        </w:trPr>
        <w:tc>
          <w:tcPr>
            <w:tcW w:type="dxa" w:w="194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Dramatic load</w:t>
            </w:r>
          </w:p>
        </w:tc>
        <w:tc>
          <w:tcPr>
            <w:tcW w:type="dxa" w:w="7416"/>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Normally one principal scene or objective, one meaningful complication or discovery, one character or relationship movement, and one ending turn or hook. Do not routinely combine a new location, new faction, major revelation, relationship change and action sequence in the same episode.</w:t>
            </w:r>
          </w:p>
        </w:tc>
      </w:tr>
      <w:tr>
        <w:trPr>
          <w:trHeight w:hRule="atLeast"/>
          <w:cantSplit/>
          <w:cantSplit/>
          <w:cantSplit/>
          <w:cantSplit/>
          <w:cantSplit/>
          <w:cantSplit/>
        </w:trPr>
        <w:tc>
          <w:tcPr>
            <w:tcW w:type="dxa" w:w="194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Point of view</w:t>
            </w:r>
          </w:p>
        </w:tc>
        <w:tc>
          <w:tcPr>
            <w:tcW w:type="dxa" w:w="7416"/>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Keep viewpoint and access to thoughts consistent. Do not reveal private knowledge merely because the author knows it.</w:t>
            </w:r>
          </w:p>
        </w:tc>
      </w:tr>
      <w:tr>
        <w:trPr>
          <w:trHeight w:hRule="atLeast"/>
          <w:cantSplit/>
          <w:cantSplit/>
          <w:cantSplit/>
          <w:cantSplit/>
          <w:cantSplit/>
        </w:trPr>
        <w:tc>
          <w:tcPr>
            <w:tcW w:type="dxa" w:w="194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Scene clarity</w:t>
            </w:r>
          </w:p>
        </w:tc>
        <w:tc>
          <w:tcPr>
            <w:tcW w:type="dxa" w:w="7416"/>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The reader must understand where the characters are, what changes and why it matters.</w:t>
            </w:r>
          </w:p>
        </w:tc>
      </w:tr>
      <w:tr>
        <w:trPr>
          <w:trHeight w:hRule="atLeast"/>
          <w:cantSplit/>
          <w:cantSplit/>
          <w:cantSplit/>
          <w:cantSplit/>
        </w:trPr>
        <w:tc>
          <w:tcPr>
            <w:tcW w:type="dxa" w:w="194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Dialogue</w:t>
            </w:r>
          </w:p>
        </w:tc>
        <w:tc>
          <w:tcPr>
            <w:tcW w:type="dxa" w:w="7416"/>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Use dialogue to reveal character, conflict or decision. Avoid exposition that every speaker already knows.</w:t>
            </w:r>
          </w:p>
        </w:tc>
      </w:tr>
      <w:tr>
        <w:trPr>
          <w:trHeight w:hRule="atLeast"/>
          <w:cantSplit/>
          <w:cantSplit/>
          <w:cantSplit/>
        </w:trPr>
        <w:tc>
          <w:tcPr>
            <w:tcW w:type="dxa" w:w="194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Description</w:t>
            </w:r>
          </w:p>
        </w:tc>
        <w:tc>
          <w:tcPr>
            <w:tcW w:type="dxa" w:w="7416"/>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Prefer specific, memorable details over long inventories. Reuse established visual motifs consistently.</w:t>
            </w:r>
          </w:p>
        </w:tc>
      </w:tr>
      <w:tr>
        <w:trPr>
          <w:trHeight w:hRule="atLeast"/>
          <w:cantSplit/>
          <w:cantSplit/>
        </w:trPr>
        <w:tc>
          <w:tcPr>
            <w:tcW w:type="dxa" w:w="194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Continuity</w:t>
            </w:r>
          </w:p>
        </w:tc>
        <w:tc>
          <w:tcPr>
            <w:tcW w:type="dxa" w:w="7416"/>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Names, ages, appearance, injuries, objects, travel time, world rules and knowledge must agree with the bible.</w:t>
            </w:r>
          </w:p>
        </w:tc>
      </w:tr>
      <w:tr>
        <w:trPr>
          <w:trHeight w:hRule="atLeast"/>
          <w:cantSplit/>
        </w:trPr>
        <w:tc>
          <w:tcPr>
            <w:tcW w:type="dxa" w:w="194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Ending</w:t>
            </w:r>
          </w:p>
        </w:tc>
        <w:tc>
          <w:tcPr>
            <w:tcW w:type="dxa" w:w="7416"/>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Create forward momentum without making every episode end with the same kind of cliff-hanger.</w:t>
            </w:r>
          </w:p>
        </w:tc>
      </w:tr>
    </w:tbl>
    <w:p>
      <w:pPr>
        <w:pStyle w:val="Heading2"/>
      </w:pPr>
      <w:r>
        <w:t>7.1 Working length guide</w:t>
      </w:r>
    </w:p>
    <w:p>
      <w:pPr/>
      <w:r>
        <w:t>These ranges describe likely episode shapes; they are not quotas. A draft passes when its dramatic unit feels complete and proportionate.</w:t>
      </w:r>
    </w:p>
    <w:tbl>
      <w:tblPr>
        <w:tblW w:type="dxa" w:w="9360"/>
        <w:tblLayout w:type="fixed"/>
        <w:tblLook w:firstColumn="1" w:firstRow="1" w:lastColumn="0" w:lastRow="0" w:noHBand="0" w:noVBand="1" w:val="04A0"/>
        <w:jc w:val="left"/>
        <w:tblInd w:w="120" w:type="dxa"/>
      </w:tblPr>
      <w:tblGrid>
        <w:gridCol w:w="1224"/>
        <w:gridCol w:w="2664"/>
        <w:gridCol w:w="5472"/>
      </w:tblGrid>
      <w:tr>
        <w:trPr>
          <w:trHeight w:hRule="atLeast"/>
          <w:cantSplit/>
          <w:tblHeader w:val="true"/>
          <w:cantSplit/>
          <w:cantSplit/>
          <w:cantSplit/>
          <w:cantSplit/>
          <w:cantSplit/>
          <w:cantSplit/>
          <w:cantSplit/>
          <w:cantSplit/>
          <w:cantSplit/>
          <w:cantSplit/>
        </w:trPr>
        <w:tc>
          <w:tcPr>
            <w:tcW w:type="dxa" w:w="122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E8EEF5" w:val="clear"/>
          </w:tcPr>
          <w:p>
            <w:pPr>
              <w:spacing w:after="0"/>
            </w:pPr>
            <w:r>
              <w:rPr>
                <w:rFonts w:ascii="Calibri" w:hAnsi="Calibri"/>
                <w:b/>
                <w:color w:val="0B2545"/>
                <w:sz w:val="18"/>
              </w:rPr>
              <w:t>Episode role</w:t>
            </w:r>
          </w:p>
        </w:tc>
        <w:tc>
          <w:tcPr>
            <w:tcW w:type="dxa" w:w="266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E8EEF5" w:val="clear"/>
          </w:tcPr>
          <w:p>
            <w:pPr>
              <w:spacing w:after="0"/>
            </w:pPr>
            <w:r>
              <w:rPr>
                <w:rFonts w:ascii="Calibri" w:hAnsi="Calibri"/>
                <w:b/>
                <w:color w:val="0B2545"/>
                <w:sz w:val="18"/>
              </w:rPr>
              <w:t>Typical range</w:t>
            </w:r>
          </w:p>
        </w:tc>
        <w:tc>
          <w:tcPr>
            <w:tcW w:type="dxa" w:w="547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E8EEF5" w:val="clear"/>
          </w:tcPr>
          <w:p>
            <w:pPr>
              <w:spacing w:after="0"/>
            </w:pPr>
            <w:r>
              <w:rPr>
                <w:rFonts w:ascii="Calibri" w:hAnsi="Calibri"/>
                <w:b/>
                <w:color w:val="0B2545"/>
                <w:sz w:val="18"/>
              </w:rPr>
              <w:t>Use when</w:t>
            </w:r>
          </w:p>
        </w:tc>
      </w:tr>
      <w:tr>
        <w:trPr>
          <w:trHeight w:hRule="atLeast"/>
          <w:cantSplit/>
          <w:cantSplit/>
          <w:cantSplit/>
          <w:cantSplit/>
          <w:cantSplit/>
          <w:cantSplit/>
          <w:cantSplit/>
          <w:cantSplit/>
          <w:cantSplit/>
          <w:cantSplit/>
        </w:trPr>
        <w:tc>
          <w:tcPr>
            <w:tcW w:type="dxa" w:w="122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Tight beat</w:t>
            </w:r>
          </w:p>
        </w:tc>
        <w:tc>
          <w:tcPr>
            <w:tcW w:type="dxa" w:w="266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700–900 words</w:t>
            </w:r>
          </w:p>
        </w:tc>
        <w:tc>
          <w:tcPr>
            <w:tcW w:type="dxa" w:w="547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A chase, discovery, transition or single focused scene.</w:t>
            </w:r>
          </w:p>
        </w:tc>
      </w:tr>
      <w:tr>
        <w:trPr>
          <w:trHeight w:hRule="atLeast"/>
          <w:cantSplit/>
          <w:cantSplit/>
          <w:cantSplit/>
          <w:cantSplit/>
          <w:cantSplit/>
          <w:cantSplit/>
          <w:cantSplit/>
          <w:cantSplit/>
          <w:cantSplit/>
        </w:trPr>
        <w:tc>
          <w:tcPr>
            <w:tcW w:type="dxa" w:w="122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Standard episode</w:t>
            </w:r>
          </w:p>
        </w:tc>
        <w:tc>
          <w:tcPr>
            <w:tcW w:type="dxa" w:w="266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900–1,300 words</w:t>
            </w:r>
          </w:p>
        </w:tc>
        <w:tc>
          <w:tcPr>
            <w:tcW w:type="dxa" w:w="547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The normal working range for most episodes.</w:t>
            </w:r>
          </w:p>
        </w:tc>
      </w:tr>
      <w:tr>
        <w:trPr>
          <w:trHeight w:hRule="atLeast"/>
          <w:cantSplit/>
          <w:cantSplit/>
          <w:cantSplit/>
          <w:cantSplit/>
          <w:cantSplit/>
          <w:cantSplit/>
          <w:cantSplit/>
          <w:cantSplit/>
        </w:trPr>
        <w:tc>
          <w:tcPr>
            <w:tcW w:type="dxa" w:w="122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Major turn</w:t>
            </w:r>
          </w:p>
        </w:tc>
        <w:tc>
          <w:tcPr>
            <w:tcW w:type="dxa" w:w="266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1,300–1,600 words</w:t>
            </w:r>
          </w:p>
        </w:tc>
        <w:tc>
          <w:tcPr>
            <w:tcW w:type="dxa" w:w="547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An emotional confrontation, major reveal or arc climax needs room.</w:t>
            </w:r>
          </w:p>
        </w:tc>
      </w:tr>
      <w:tr>
        <w:trPr>
          <w:trHeight w:hRule="atLeast"/>
          <w:cantSplit/>
          <w:cantSplit/>
          <w:cantSplit/>
          <w:cantSplit/>
          <w:cantSplit/>
          <w:cantSplit/>
          <w:cantSplit/>
        </w:trPr>
        <w:tc>
          <w:tcPr>
            <w:tcW w:type="dxa" w:w="122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Long episode</w:t>
            </w:r>
          </w:p>
        </w:tc>
        <w:tc>
          <w:tcPr>
            <w:tcW w:type="dxa" w:w="266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Over 1,600 words</w:t>
            </w:r>
          </w:p>
        </w:tc>
        <w:tc>
          <w:tcPr>
            <w:tcW w:type="dxa" w:w="547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Only where the dramatic unit cannot divide cleanly; first test for a natural break.</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trHeight w:hRule="atLeast"/>
          <w:cantSplit/>
        </w:trPr>
        <w:tc>
          <w:tcPr>
            <w:tcW w:type="dxa" w:w="936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F4F6F9" w:val="clear"/>
          </w:tcPr>
          <w:p>
            <w:pPr>
              <w:spacing w:after="40"/>
            </w:pPr>
            <w:r>
              <w:rPr>
                <w:rFonts w:ascii="Calibri" w:hAnsi="Calibri"/>
                <w:b/>
                <w:color w:val="2E74B5"/>
                <w:sz w:val="16"/>
              </w:rPr>
              <w:t>CREATIVE TEXT ONLY</w:t>
            </w:r>
          </w:p>
          <w:p>
            <w:pPr>
              <w:spacing w:after="0"/>
            </w:pPr>
            <w:r>
              <w:rPr>
                <w:rFonts w:ascii="Calibri" w:hAnsi="Calibri"/>
                <w:color w:val="0B2545"/>
                <w:sz w:val="20"/>
              </w:rPr>
              <w:t>Write clean narrative prose in this stage. Speaker tags, voice directions, music cues, pronunciation notes and synthesis instructions belong to the separate Audio Specification and are not added here.</w:t>
            </w:r>
          </w:p>
        </w:tc>
      </w:tr>
    </w:tbl>
    <w:p>
      <w:pPr>
        <w:spacing w:after="0"/>
      </w:pPr>
    </w:p>
    <w:p>
      <w:pPr>
        <w:pStyle w:val="Heading1"/>
        <w:keepNext/>
        <w:keepLines/>
      </w:pPr>
      <w:r>
        <w:t>8. Continuity, knowledge and reveal control</w:t>
      </w:r>
    </w:p>
    <w:p>
      <w:pPr>
        <w:numPr>
          <w:ilvl w:val="0"/>
          <w:numId w:val="12"/>
        </w:numPr>
        <w:spacing w:after="80" w:line="300" w:lineRule="auto"/>
        <w:ind w:left="540" w:hanging="271"/>
      </w:pPr>
      <w:r>
        <w:rPr>
          <w:rFonts w:ascii="Calibri" w:hAnsi="Calibri"/>
        </w:rPr>
        <w:t>Label each important fact with the earliest episode in which a reader may learn it.</w:t>
      </w:r>
    </w:p>
    <w:p>
      <w:pPr>
        <w:numPr>
          <w:ilvl w:val="0"/>
          <w:numId w:val="12"/>
        </w:numPr>
        <w:spacing w:after="80" w:line="300" w:lineRule="auto"/>
        <w:ind w:left="540" w:hanging="271"/>
      </w:pPr>
      <w:r>
        <w:rPr>
          <w:rFonts w:ascii="Calibri" w:hAnsi="Calibri"/>
        </w:rPr>
        <w:t>Track author knowledge separately from character knowledge.</w:t>
      </w:r>
    </w:p>
    <w:p>
      <w:pPr>
        <w:numPr>
          <w:ilvl w:val="0"/>
          <w:numId w:val="12"/>
        </w:numPr>
        <w:spacing w:after="80" w:line="300" w:lineRule="auto"/>
        <w:ind w:left="540" w:hanging="271"/>
      </w:pPr>
      <w:r>
        <w:rPr>
          <w:rFonts w:ascii="Calibri" w:hAnsi="Calibri"/>
        </w:rPr>
        <w:t>Record the source episode when a character learns, confirms or rejects a fact.</w:t>
      </w:r>
    </w:p>
    <w:p>
      <w:pPr>
        <w:numPr>
          <w:ilvl w:val="0"/>
          <w:numId w:val="12"/>
        </w:numPr>
        <w:spacing w:after="80" w:line="300" w:lineRule="auto"/>
        <w:ind w:left="540" w:hanging="271"/>
      </w:pPr>
      <w:r>
        <w:rPr>
          <w:rFonts w:ascii="Calibri" w:hAnsi="Calibri"/>
        </w:rPr>
        <w:t>Do not solve a problem using a skill, object or rule that has not been established.</w:t>
      </w:r>
    </w:p>
    <w:p>
      <w:pPr>
        <w:numPr>
          <w:ilvl w:val="0"/>
          <w:numId w:val="12"/>
        </w:numPr>
        <w:spacing w:after="80" w:line="300" w:lineRule="auto"/>
        <w:ind w:left="540" w:hanging="271"/>
      </w:pPr>
      <w:r>
        <w:rPr>
          <w:rFonts w:ascii="Calibri" w:hAnsi="Calibri"/>
        </w:rPr>
        <w:t>When an episode changes, review all later outlines for consequences before approving the change.</w:t>
      </w:r>
    </w:p>
    <w:p>
      <w:pPr>
        <w:numPr>
          <w:ilvl w:val="0"/>
          <w:numId w:val="12"/>
        </w:numPr>
        <w:spacing w:after="80" w:line="300" w:lineRule="auto"/>
        <w:ind w:left="540" w:hanging="271"/>
      </w:pPr>
      <w:r>
        <w:rPr>
          <w:rFonts w:ascii="Calibri" w:hAnsi="Calibri"/>
        </w:rPr>
        <w:t>Keep future-arc explanations in the private bible; public summaries must not reveal them.</w:t>
      </w:r>
    </w:p>
    <w:tbl>
      <w:tblPr>
        <w:tblW w:type="dxa" w:w="9360"/>
        <w:tblLayout w:type="fixed"/>
        <w:tblLook w:firstColumn="1" w:firstRow="1" w:lastColumn="0" w:lastRow="0" w:noHBand="0" w:noVBand="1" w:val="04A0"/>
        <w:jc w:val="left"/>
        <w:tblInd w:w="120" w:type="dxa"/>
      </w:tblPr>
      <w:tblGrid>
        <w:gridCol w:w="2232"/>
        <w:gridCol w:w="7128"/>
      </w:tblGrid>
      <w:tr>
        <w:trPr>
          <w:trHeight w:hRule="atLeast"/>
          <w:cantSplit/>
          <w:tblHeader w:val="true"/>
          <w:cantSplit/>
          <w:cantSplit/>
          <w:cantSplit/>
          <w:cantSplit/>
          <w:cantSplit/>
          <w:cantSplit/>
        </w:trPr>
        <w:tc>
          <w:tcPr>
            <w:tcW w:type="dxa" w:w="223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E8EEF5" w:val="clear"/>
          </w:tcPr>
          <w:p>
            <w:pPr>
              <w:spacing w:after="0"/>
            </w:pPr>
            <w:r>
              <w:rPr>
                <w:rFonts w:ascii="Calibri" w:hAnsi="Calibri"/>
                <w:b/>
                <w:color w:val="0B2545"/>
                <w:sz w:val="18"/>
              </w:rPr>
              <w:t>Continuity check</w:t>
            </w:r>
          </w:p>
        </w:tc>
        <w:tc>
          <w:tcPr>
            <w:tcW w:type="dxa" w:w="712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E8EEF5" w:val="clear"/>
          </w:tcPr>
          <w:p>
            <w:pPr>
              <w:spacing w:after="0"/>
            </w:pPr>
            <w:r>
              <w:rPr>
                <w:rFonts w:ascii="Calibri" w:hAnsi="Calibri"/>
                <w:b/>
                <w:color w:val="0B2545"/>
                <w:sz w:val="18"/>
              </w:rPr>
              <w:t>Question</w:t>
            </w:r>
          </w:p>
        </w:tc>
      </w:tr>
      <w:tr>
        <w:trPr>
          <w:trHeight w:hRule="atLeast"/>
          <w:cantSplit/>
          <w:cantSplit/>
          <w:cantSplit/>
          <w:cantSplit/>
          <w:cantSplit/>
          <w:cantSplit/>
        </w:trPr>
        <w:tc>
          <w:tcPr>
            <w:tcW w:type="dxa" w:w="223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Physical state</w:t>
            </w:r>
          </w:p>
        </w:tc>
        <w:tc>
          <w:tcPr>
            <w:tcW w:type="dxa" w:w="712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Where is each character, what are they carrying, and are injuries or limitations consistent?</w:t>
            </w:r>
          </w:p>
        </w:tc>
      </w:tr>
      <w:tr>
        <w:trPr>
          <w:trHeight w:hRule="atLeast"/>
          <w:cantSplit/>
          <w:cantSplit/>
          <w:cantSplit/>
          <w:cantSplit/>
          <w:cantSplit/>
        </w:trPr>
        <w:tc>
          <w:tcPr>
            <w:tcW w:type="dxa" w:w="223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Knowledge state</w:t>
            </w:r>
          </w:p>
        </w:tc>
        <w:tc>
          <w:tcPr>
            <w:tcW w:type="dxa" w:w="712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What does each character know at this exact episode?</w:t>
            </w:r>
          </w:p>
        </w:tc>
      </w:tr>
      <w:tr>
        <w:trPr>
          <w:trHeight w:hRule="atLeast"/>
          <w:cantSplit/>
          <w:cantSplit/>
          <w:cantSplit/>
          <w:cantSplit/>
        </w:trPr>
        <w:tc>
          <w:tcPr>
            <w:tcW w:type="dxa" w:w="223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Relationship state</w:t>
            </w:r>
          </w:p>
        </w:tc>
        <w:tc>
          <w:tcPr>
            <w:tcW w:type="dxa" w:w="712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What has been promised, concealed, forgiven or broken?</w:t>
            </w:r>
          </w:p>
        </w:tc>
      </w:tr>
      <w:tr>
        <w:trPr>
          <w:trHeight w:hRule="atLeast"/>
          <w:cantSplit/>
          <w:cantSplit/>
          <w:cantSplit/>
        </w:trPr>
        <w:tc>
          <w:tcPr>
            <w:tcW w:type="dxa" w:w="223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World state</w:t>
            </w:r>
          </w:p>
        </w:tc>
        <w:tc>
          <w:tcPr>
            <w:tcW w:type="dxa" w:w="712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What public event, damage, political change or discovery persists after the episode?</w:t>
            </w:r>
          </w:p>
        </w:tc>
      </w:tr>
      <w:tr>
        <w:trPr>
          <w:trHeight w:hRule="atLeast"/>
          <w:cantSplit/>
          <w:cantSplit/>
        </w:trPr>
        <w:tc>
          <w:tcPr>
            <w:tcW w:type="dxa" w:w="223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Mystery state</w:t>
            </w:r>
          </w:p>
        </w:tc>
        <w:tc>
          <w:tcPr>
            <w:tcW w:type="dxa" w:w="712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Which clues are visible, which interpretation is plausible, and which answer remains protected?</w:t>
            </w:r>
          </w:p>
        </w:tc>
      </w:tr>
      <w:tr>
        <w:trPr>
          <w:trHeight w:hRule="atLeast"/>
          <w:cantSplit/>
        </w:trPr>
        <w:tc>
          <w:tcPr>
            <w:tcW w:type="dxa" w:w="223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Visual state</w:t>
            </w:r>
          </w:p>
        </w:tc>
        <w:tc>
          <w:tcPr>
            <w:tcW w:type="dxa" w:w="712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Do appearance, clothing, age, props and locations match the approved references?</w:t>
            </w:r>
          </w:p>
        </w:tc>
      </w:tr>
    </w:tbl>
    <w:p>
      <w:pPr>
        <w:spacing w:after="0"/>
      </w:pPr>
    </w:p>
    <w:p>
      <w:pPr>
        <w:pStyle w:val="Heading1"/>
        <w:keepNext/>
        <w:keepLines/>
      </w:pPr>
      <w:r>
        <w:t>9. Image creation within the story workflow</w:t>
      </w:r>
    </w:p>
    <w:p>
      <w:r>
        <w:rPr>
          <w:rFonts w:ascii="Calibri" w:hAnsi="Calibri"/>
        </w:rPr>
        <w:t>Image creation is included as a story-production task, but the artwork file remains the technical source of truth. Story Creation determines what should be shown; the artwork specification determines how it is composed and exported.</w:t>
      </w:r>
    </w:p>
    <w:p>
      <w:pPr>
        <w:numPr>
          <w:ilvl w:val="0"/>
          <w:numId w:val="13"/>
        </w:numPr>
        <w:spacing w:after="80" w:line="300" w:lineRule="auto"/>
        <w:ind w:left="540" w:hanging="271"/>
      </w:pPr>
      <w:r>
        <w:rPr>
          <w:rFonts w:ascii="Calibri" w:hAnsi="Calibri"/>
        </w:rPr>
        <w:t>Lock the character and location reference descriptions before creating episode images.</w:t>
      </w:r>
    </w:p>
    <w:p>
      <w:pPr>
        <w:numPr>
          <w:ilvl w:val="0"/>
          <w:numId w:val="13"/>
        </w:numPr>
        <w:spacing w:after="80" w:line="300" w:lineRule="auto"/>
        <w:ind w:left="540" w:hanging="271"/>
      </w:pPr>
      <w:r>
        <w:rPr>
          <w:rFonts w:ascii="Calibri" w:hAnsi="Calibri"/>
        </w:rPr>
        <w:t>Select one defining visual event from the final episode, not a collage of the full plot.</w:t>
      </w:r>
    </w:p>
    <w:p>
      <w:pPr>
        <w:numPr>
          <w:ilvl w:val="0"/>
          <w:numId w:val="13"/>
        </w:numPr>
        <w:spacing w:after="80" w:line="300" w:lineRule="auto"/>
        <w:ind w:left="540" w:hanging="271"/>
      </w:pPr>
      <w:r>
        <w:rPr>
          <w:rFonts w:ascii="Calibri" w:hAnsi="Calibri"/>
        </w:rPr>
        <w:t>Prepare a concise prompt using the approved character appearance, action, setting, mood and focal object.</w:t>
      </w:r>
    </w:p>
    <w:p>
      <w:pPr>
        <w:numPr>
          <w:ilvl w:val="0"/>
          <w:numId w:val="13"/>
        </w:numPr>
        <w:spacing w:after="80" w:line="300" w:lineRule="auto"/>
        <w:ind w:left="540" w:hanging="271"/>
      </w:pPr>
      <w:r>
        <w:rPr>
          <w:rFonts w:ascii="Calibri" w:hAnsi="Calibri"/>
        </w:rPr>
        <w:t>Create the square episode artwork, story cover and banner in accordance with episode-artwork-production-specification(1).docx.</w:t>
      </w:r>
    </w:p>
    <w:p>
      <w:pPr>
        <w:numPr>
          <w:ilvl w:val="0"/>
          <w:numId w:val="13"/>
        </w:numPr>
        <w:spacing w:after="80" w:line="300" w:lineRule="auto"/>
        <w:ind w:left="540" w:hanging="271"/>
      </w:pPr>
      <w:r>
        <w:rPr>
          <w:rFonts w:ascii="Calibri" w:hAnsi="Calibri"/>
        </w:rPr>
        <w:t>Compare the image against the character bible and the actual episode before accepting it.</w:t>
      </w:r>
    </w:p>
    <w:p>
      <w:pPr>
        <w:numPr>
          <w:ilvl w:val="0"/>
          <w:numId w:val="13"/>
        </w:numPr>
        <w:spacing w:after="80" w:line="300" w:lineRule="auto"/>
        <w:ind w:left="540" w:hanging="271"/>
      </w:pPr>
      <w:r>
        <w:rPr>
          <w:rFonts w:ascii="Calibri" w:hAnsi="Calibri"/>
        </w:rPr>
        <w:t>Record the approved image filename/path in the episode production card for the later Story SQL load.</w:t>
      </w:r>
    </w:p>
    <w:tbl>
      <w:tblPr>
        <w:tblW w:type="dxa" w:w="9360"/>
        <w:jc w:val="left"/>
        <w:tblLayout w:type="fixed"/>
        <w:tblLook w:firstColumn="1" w:firstRow="1" w:lastColumn="0" w:lastRow="0" w:noHBand="0" w:noVBand="1" w:val="04A0"/>
        <w:tblInd w:w="120" w:type="dxa"/>
      </w:tblPr>
      <w:tblGrid>
        <w:gridCol w:w="9360"/>
      </w:tblGrid>
      <w:tr>
        <w:trPr>
          <w:trHeight w:hRule="atLeast"/>
          <w:cantSplit/>
        </w:trPr>
        <w:tc>
          <w:tcPr>
            <w:tcW w:type="dxa" w:w="936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EDF5FB" w:val="clear"/>
          </w:tcPr>
          <w:p>
            <w:pPr>
              <w:spacing w:after="40"/>
            </w:pPr>
            <w:r>
              <w:rPr>
                <w:rFonts w:ascii="Calibri" w:hAnsi="Calibri"/>
                <w:b/>
                <w:color w:val="2E74B5"/>
                <w:sz w:val="16"/>
              </w:rPr>
              <w:t>CURRENT ARTWORK SUMMARY</w:t>
            </w:r>
          </w:p>
          <w:p>
            <w:pPr>
              <w:spacing w:after="0"/>
            </w:pPr>
            <w:r>
              <w:rPr>
                <w:rFonts w:ascii="Calibri" w:hAnsi="Calibri"/>
                <w:color w:val="0B2545"/>
                <w:sz w:val="20"/>
              </w:rPr>
              <w:t>The referenced template currently specifies 1024 x 1024 square artwork for episode and story covers, plus a 1600 x 900 story banner designed to remain complete on mobile. If that template changes, follow its latest approved version without rewriting this story specification.</w:t>
            </w:r>
          </w:p>
        </w:tc>
      </w:tr>
    </w:tbl>
    <w:p>
      <w:pPr>
        <w:spacing w:after="0"/>
      </w:pPr>
    </w:p>
    <w:p>
      <w:pPr>
        <w:pStyle w:val="Heading1"/>
        <w:keepNext/>
        <w:keepLines/>
      </w:pPr>
      <w:r>
        <w:t>10. Review gates</w:t>
      </w:r>
    </w:p>
    <w:tbl>
      <w:tblPr>
        <w:tblW w:type="dxa" w:w="9360"/>
        <w:tblLayout w:type="fixed"/>
        <w:tblLook w:firstColumn="1" w:firstRow="1" w:lastColumn="0" w:lastRow="0" w:noHBand="0" w:noVBand="1" w:val="04A0"/>
        <w:jc w:val="left"/>
        <w:tblInd w:w="120" w:type="dxa"/>
      </w:tblPr>
      <w:tblGrid>
        <w:gridCol w:w="1872"/>
        <w:gridCol w:w="5184"/>
        <w:gridCol w:w="2304"/>
      </w:tblGrid>
      <w:tr>
        <w:trPr>
          <w:trHeight w:hRule="atLeast"/>
          <w:cantSplit/>
          <w:tblHeader w:val="true"/>
          <w:cantSplit/>
          <w:cantSplit/>
          <w:cantSplit/>
          <w:cantSplit/>
          <w:cantSplit/>
        </w:trPr>
        <w:tc>
          <w:tcPr>
            <w:tcW w:type="dxa" w:w="187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E8EEF5" w:val="clear"/>
          </w:tcPr>
          <w:p>
            <w:pPr>
              <w:spacing w:after="0"/>
            </w:pPr>
            <w:r>
              <w:rPr>
                <w:rFonts w:ascii="Calibri" w:hAnsi="Calibri"/>
                <w:b/>
                <w:color w:val="0B2545"/>
                <w:sz w:val="18"/>
              </w:rPr>
              <w:t>Gate</w:t>
            </w:r>
          </w:p>
        </w:tc>
        <w:tc>
          <w:tcPr>
            <w:tcW w:type="dxa" w:w="518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E8EEF5" w:val="clear"/>
          </w:tcPr>
          <w:p>
            <w:pPr>
              <w:spacing w:after="0"/>
            </w:pPr>
            <w:r>
              <w:rPr>
                <w:rFonts w:ascii="Calibri" w:hAnsi="Calibri"/>
                <w:b/>
                <w:color w:val="0B2545"/>
                <w:sz w:val="18"/>
              </w:rPr>
              <w:t>Reviewer focus</w:t>
            </w:r>
          </w:p>
        </w:tc>
        <w:tc>
          <w:tcPr>
            <w:tcW w:type="dxa" w:w="230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E8EEF5" w:val="clear"/>
          </w:tcPr>
          <w:p>
            <w:pPr>
              <w:spacing w:after="0"/>
            </w:pPr>
            <w:r>
              <w:rPr>
                <w:rFonts w:ascii="Calibri" w:hAnsi="Calibri"/>
                <w:b/>
                <w:color w:val="0B2545"/>
                <w:sz w:val="18"/>
              </w:rPr>
              <w:t>Decision</w:t>
            </w:r>
          </w:p>
        </w:tc>
      </w:tr>
      <w:tr>
        <w:trPr>
          <w:trHeight w:hRule="atLeast"/>
          <w:cantSplit/>
          <w:cantSplit/>
          <w:cantSplit/>
          <w:cantSplit/>
          <w:cantSplit/>
        </w:trPr>
        <w:tc>
          <w:tcPr>
            <w:tcW w:type="dxa" w:w="187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Brief review</w:t>
            </w:r>
          </w:p>
        </w:tc>
        <w:tc>
          <w:tcPr>
            <w:tcW w:type="dxa" w:w="518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Premise, audience, tone, required elements and exclusions.</w:t>
            </w:r>
          </w:p>
        </w:tc>
        <w:tc>
          <w:tcPr>
            <w:tcW w:type="dxa" w:w="230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Approve the creative interpretation or revise before drafting.</w:t>
            </w:r>
          </w:p>
        </w:tc>
      </w:tr>
      <w:tr>
        <w:trPr>
          <w:trHeight w:hRule="atLeast"/>
          <w:cantSplit/>
          <w:cantSplit/>
          <w:cantSplit/>
          <w:cantSplit/>
        </w:trPr>
        <w:tc>
          <w:tcPr>
            <w:tcW w:type="dxa" w:w="187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Roadmap review</w:t>
            </w:r>
          </w:p>
        </w:tc>
        <w:tc>
          <w:tcPr>
            <w:tcW w:type="dxa" w:w="518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100-episode capacity, reveal pacing, character arcs and ten-episode arc boundaries.</w:t>
            </w:r>
          </w:p>
        </w:tc>
        <w:tc>
          <w:tcPr>
            <w:tcW w:type="dxa" w:w="230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Approve the season direction or rebalance the roadmap.</w:t>
            </w:r>
          </w:p>
        </w:tc>
      </w:tr>
      <w:tr>
        <w:trPr>
          <w:trHeight w:hRule="atLeast"/>
          <w:cantSplit/>
          <w:cantSplit/>
          <w:cantSplit/>
        </w:trPr>
        <w:tc>
          <w:tcPr>
            <w:tcW w:type="dxa" w:w="187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Episodes 1-10 content review</w:t>
            </w:r>
          </w:p>
        </w:tc>
        <w:tc>
          <w:tcPr>
            <w:tcW w:type="dxa" w:w="518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Readability, character consistency, continuity, pacing, endings and payoff.</w:t>
            </w:r>
          </w:p>
        </w:tc>
        <w:tc>
          <w:tcPr>
            <w:tcW w:type="dxa" w:w="230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Approve, revise selected episodes, or redesign the opening arc.</w:t>
            </w:r>
          </w:p>
        </w:tc>
      </w:tr>
      <w:tr>
        <w:trPr>
          <w:trHeight w:hRule="atLeast"/>
          <w:cantSplit/>
          <w:cantSplit/>
        </w:trPr>
        <w:tc>
          <w:tcPr>
            <w:tcW w:type="dxa" w:w="187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Artwork review</w:t>
            </w:r>
          </w:p>
        </w:tc>
        <w:tc>
          <w:tcPr>
            <w:tcW w:type="dxa" w:w="518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Episode match, character consistency, approved dimensions and mobile-safe composition.</w:t>
            </w:r>
          </w:p>
        </w:tc>
        <w:tc>
          <w:tcPr>
            <w:tcW w:type="dxa" w:w="230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Approve or recreate the individual asset.</w:t>
            </w:r>
          </w:p>
        </w:tc>
      </w:tr>
      <w:tr>
        <w:trPr>
          <w:trHeight w:hRule="atLeast"/>
          <w:cantSplit/>
        </w:trPr>
        <w:tc>
          <w:tcPr>
            <w:tcW w:type="dxa" w:w="187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Batch release</w:t>
            </w:r>
          </w:p>
        </w:tc>
        <w:tc>
          <w:tcPr>
            <w:tcW w:type="dxa" w:w="518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All corrections incorporated; next ten-episode arc still fits the approved direction.</w:t>
            </w:r>
          </w:p>
        </w:tc>
        <w:tc>
          <w:tcPr>
            <w:tcW w:type="dxa" w:w="230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Authorise Episodes 11-20 or hold further writing.</w:t>
            </w:r>
          </w:p>
        </w:tc>
      </w:tr>
    </w:tbl>
    <w:p>
      <w:pPr>
        <w:spacing w:after="0"/>
      </w:pPr>
    </w:p>
    <w:p>
      <w:pPr>
        <w:pStyle w:val="Heading2"/>
        <w:keepNext/>
        <w:keepLines/>
      </w:pPr>
      <w:r>
        <w:t>10.1 Separate brief and output findings</w:t>
      </w:r>
    </w:p>
    <w:p>
      <w:r>
        <w:rPr>
          <w:rFonts w:ascii="Calibri" w:hAnsi="Calibri"/>
        </w:rPr>
        <w:t>Review comments must identify whether the problem is in the source brief or in the generated output. This prevents repeated rewriting when the real issue is an unresolved creative instruction.</w:t>
      </w:r>
    </w:p>
    <w:tbl>
      <w:tblPr>
        <w:tblW w:type="dxa" w:w="9360"/>
        <w:tblLayout w:type="fixed"/>
        <w:tblLook w:firstColumn="1" w:firstRow="1" w:lastColumn="0" w:lastRow="0" w:noHBand="0" w:noVBand="1" w:val="04A0"/>
        <w:jc w:val="left"/>
        <w:tblInd w:w="120" w:type="dxa"/>
      </w:tblPr>
      <w:tblGrid>
        <w:gridCol w:w="1800"/>
        <w:gridCol w:w="3816"/>
        <w:gridCol w:w="3744"/>
      </w:tblGrid>
      <w:tr>
        <w:trPr>
          <w:trHeight w:hRule="atLeast"/>
          <w:cantSplit/>
          <w:tblHeader w:val="true"/>
          <w:cantSplit/>
          <w:cantSplit/>
          <w:cantSplit/>
          <w:cantSplit/>
          <w:cantSplit/>
        </w:trPr>
        <w:tc>
          <w:tcPr>
            <w:tcW w:type="dxa" w:w="180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E8EEF5" w:val="clear"/>
          </w:tcPr>
          <w:p>
            <w:pPr>
              <w:spacing w:after="0"/>
            </w:pPr>
            <w:r>
              <w:rPr>
                <w:rFonts w:ascii="Calibri" w:hAnsi="Calibri"/>
                <w:b/>
                <w:color w:val="0B2545"/>
                <w:sz w:val="18"/>
              </w:rPr>
              <w:t>Finding type</w:t>
            </w:r>
          </w:p>
        </w:tc>
        <w:tc>
          <w:tcPr>
            <w:tcW w:type="dxa" w:w="3816"/>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E8EEF5" w:val="clear"/>
          </w:tcPr>
          <w:p>
            <w:pPr>
              <w:spacing w:after="0"/>
            </w:pPr>
            <w:r>
              <w:rPr>
                <w:rFonts w:ascii="Calibri" w:hAnsi="Calibri"/>
                <w:b/>
                <w:color w:val="0B2545"/>
                <w:sz w:val="18"/>
              </w:rPr>
              <w:t>Example</w:t>
            </w:r>
          </w:p>
        </w:tc>
        <w:tc>
          <w:tcPr>
            <w:tcW w:type="dxa" w:w="374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E8EEF5" w:val="clear"/>
          </w:tcPr>
          <w:p>
            <w:pPr>
              <w:spacing w:after="0"/>
            </w:pPr>
            <w:r>
              <w:rPr>
                <w:rFonts w:ascii="Calibri" w:hAnsi="Calibri"/>
                <w:b/>
                <w:color w:val="0B2545"/>
                <w:sz w:val="18"/>
              </w:rPr>
              <w:t>Corrective action</w:t>
            </w:r>
          </w:p>
        </w:tc>
      </w:tr>
      <w:tr>
        <w:trPr>
          <w:trHeight w:hRule="atLeast"/>
          <w:cantSplit/>
          <w:cantSplit/>
          <w:cantSplit/>
          <w:cantSplit/>
          <w:cantSplit/>
        </w:trPr>
        <w:tc>
          <w:tcPr>
            <w:tcW w:type="dxa" w:w="180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Brief issue</w:t>
            </w:r>
          </w:p>
        </w:tc>
        <w:tc>
          <w:tcPr>
            <w:tcW w:type="dxa" w:w="3816"/>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The desired darkness or age audience is not defined.</w:t>
            </w:r>
          </w:p>
        </w:tc>
        <w:tc>
          <w:tcPr>
            <w:tcW w:type="dxa" w:w="374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Clarify the brief, then reassess all affected episodes.</w:t>
            </w:r>
          </w:p>
        </w:tc>
      </w:tr>
      <w:tr>
        <w:trPr>
          <w:trHeight w:hRule="atLeast"/>
          <w:cantSplit/>
          <w:cantSplit/>
          <w:cantSplit/>
          <w:cantSplit/>
        </w:trPr>
        <w:tc>
          <w:tcPr>
            <w:tcW w:type="dxa" w:w="180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Interpretation issue</w:t>
            </w:r>
          </w:p>
        </w:tc>
        <w:tc>
          <w:tcPr>
            <w:tcW w:type="dxa" w:w="3816"/>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The central relationship was understood incorrectly.</w:t>
            </w:r>
          </w:p>
        </w:tc>
        <w:tc>
          <w:tcPr>
            <w:tcW w:type="dxa" w:w="374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Correct the story bible and revise the affected arc.</w:t>
            </w:r>
          </w:p>
        </w:tc>
      </w:tr>
      <w:tr>
        <w:trPr>
          <w:trHeight w:hRule="atLeast"/>
          <w:cantSplit/>
          <w:cantSplit/>
          <w:cantSplit/>
        </w:trPr>
        <w:tc>
          <w:tcPr>
            <w:tcW w:type="dxa" w:w="180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Output issue</w:t>
            </w:r>
          </w:p>
        </w:tc>
        <w:tc>
          <w:tcPr>
            <w:tcW w:type="dxa" w:w="3816"/>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Episode 6 repeats Episode 4's turn.</w:t>
            </w:r>
          </w:p>
        </w:tc>
        <w:tc>
          <w:tcPr>
            <w:tcW w:type="dxa" w:w="374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Revise the episode without changing the approved premise.</w:t>
            </w:r>
          </w:p>
        </w:tc>
      </w:tr>
      <w:tr>
        <w:trPr>
          <w:trHeight w:hRule="atLeast"/>
          <w:cantSplit/>
          <w:cantSplit/>
        </w:trPr>
        <w:tc>
          <w:tcPr>
            <w:tcW w:type="dxa" w:w="180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Continuity issue</w:t>
            </w:r>
          </w:p>
        </w:tc>
        <w:tc>
          <w:tcPr>
            <w:tcW w:type="dxa" w:w="3816"/>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A character knows a fact before learning it.</w:t>
            </w:r>
          </w:p>
        </w:tc>
        <w:tc>
          <w:tcPr>
            <w:tcW w:type="dxa" w:w="374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Correct the episode and update the knowledge record.</w:t>
            </w:r>
          </w:p>
        </w:tc>
      </w:tr>
      <w:tr>
        <w:trPr>
          <w:trHeight w:hRule="atLeast"/>
          <w:cantSplit/>
        </w:trPr>
        <w:tc>
          <w:tcPr>
            <w:tcW w:type="dxa" w:w="180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Production issue</w:t>
            </w:r>
          </w:p>
        </w:tc>
        <w:tc>
          <w:tcPr>
            <w:tcW w:type="dxa" w:w="3816"/>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Artwork does not match the approved character reference.</w:t>
            </w:r>
          </w:p>
        </w:tc>
        <w:tc>
          <w:tcPr>
            <w:tcW w:type="dxa" w:w="374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Recreate the image under the artwork specification.</w:t>
            </w:r>
          </w:p>
        </w:tc>
      </w:tr>
    </w:tbl>
    <w:p>
      <w:pPr>
        <w:spacing w:after="0"/>
      </w:pPr>
    </w:p>
    <w:p>
      <w:pPr>
        <w:pStyle w:val="Heading1"/>
        <w:keepNext/>
        <w:keepLines/>
      </w:pPr>
      <w:r>
        <w:t>11. Initial batch acceptance checklist</w:t>
      </w:r>
    </w:p>
    <w:p>
      <w:pPr>
        <w:spacing w:after="80"/>
        <w:ind w:left="269" w:hanging="269"/>
      </w:pPr>
      <w:r>
        <w:rPr>
          <w:rFonts w:ascii="Consolas" w:hAnsi="Consolas"/>
          <w:b/>
          <w:color w:val="2E74B5"/>
          <w:sz w:val="20"/>
        </w:rPr>
        <w:t xml:space="preserve">[ ] </w:t>
      </w:r>
      <w:r>
        <w:rPr>
          <w:rFonts w:ascii="Calibri" w:hAnsi="Calibri"/>
        </w:rPr>
        <w:t>The source brief is complete, internally consistent and approved.</w:t>
      </w:r>
    </w:p>
    <w:p>
      <w:pPr>
        <w:spacing w:after="80"/>
        <w:ind w:left="269" w:hanging="269"/>
      </w:pPr>
      <w:r>
        <w:rPr>
          <w:rFonts w:ascii="Consolas" w:hAnsi="Consolas"/>
          <w:b/>
          <w:color w:val="2E74B5"/>
          <w:sz w:val="20"/>
        </w:rPr>
        <w:t xml:space="preserve">[ ] </w:t>
      </w:r>
      <w:r>
        <w:rPr>
          <w:rFonts w:ascii="Calibri" w:hAnsi="Calibri"/>
        </w:rPr>
        <w:t>The private story bible records the world, characters, timeline, secrets, canon and character knowledge.</w:t>
      </w:r>
    </w:p>
    <w:p>
      <w:pPr>
        <w:spacing w:after="80"/>
        <w:ind w:left="269" w:hanging="269"/>
      </w:pPr>
      <w:r>
        <w:rPr>
          <w:rFonts w:ascii="Consolas" w:hAnsi="Consolas"/>
          <w:b/>
          <w:color w:val="2E74B5"/>
          <w:sz w:val="20"/>
        </w:rPr>
        <w:t xml:space="preserve">[ ] </w:t>
      </w:r>
      <w:r>
        <w:rPr>
          <w:rFonts w:ascii="Calibri" w:hAnsi="Calibri"/>
        </w:rPr>
        <w:t>The season is planned as 100 episodes across ten connected arcs.</w:t>
      </w:r>
    </w:p>
    <w:p>
      <w:pPr>
        <w:spacing w:after="80"/>
        <w:ind w:left="269" w:hanging="269"/>
      </w:pPr>
      <w:r>
        <w:rPr>
          <w:rFonts w:ascii="Consolas" w:hAnsi="Consolas"/>
          <w:b/>
          <w:color w:val="2E74B5"/>
          <w:sz w:val="20"/>
        </w:rPr>
        <w:t xml:space="preserve">[ ] </w:t>
      </w:r>
      <w:r>
        <w:rPr>
          <w:rFonts w:ascii="Calibri" w:hAnsi="Calibri"/>
        </w:rPr>
        <w:t>Episodes 1–10 are complete. Most normally fall around 900–1,300 words; shorter or longer variations are justified by the dramatic unit.</w:t>
      </w:r>
    </w:p>
    <w:p>
      <w:pPr>
        <w:spacing w:after="80"/>
        <w:ind w:left="269" w:hanging="269"/>
      </w:pPr>
      <w:r>
        <w:rPr>
          <w:rFonts w:ascii="Consolas" w:hAnsi="Consolas"/>
          <w:b/>
          <w:color w:val="2E74B5"/>
          <w:sz w:val="20"/>
        </w:rPr>
        <w:t xml:space="preserve">[ ] </w:t>
      </w:r>
      <w:r>
        <w:rPr>
          <w:rFonts w:ascii="Calibri" w:hAnsi="Calibri"/>
        </w:rPr>
        <w:t>Each episode has an objective, obstacle, turn, consequence and distinct purpose.</w:t>
      </w:r>
    </w:p>
    <w:p>
      <w:pPr>
        <w:spacing w:after="80"/>
        <w:ind w:left="269" w:hanging="269"/>
      </w:pPr>
      <w:r>
        <w:rPr>
          <w:rFonts w:ascii="Consolas" w:hAnsi="Consolas"/>
          <w:b/>
          <w:color w:val="2E74B5"/>
          <w:sz w:val="20"/>
        </w:rPr>
        <w:t xml:space="preserve">[ ] </w:t>
      </w:r>
      <w:r>
        <w:rPr>
          <w:rFonts w:ascii="Calibri" w:hAnsi="Calibri"/>
        </w:rPr>
        <w:t>The ten episodes form a coherent opening arc and create a reason to continue.</w:t>
      </w:r>
    </w:p>
    <w:p>
      <w:pPr>
        <w:spacing w:after="80"/>
        <w:ind w:left="269" w:hanging="269"/>
      </w:pPr>
      <w:r>
        <w:rPr>
          <w:rFonts w:ascii="Consolas" w:hAnsi="Consolas"/>
          <w:b/>
          <w:color w:val="2E74B5"/>
          <w:sz w:val="20"/>
        </w:rPr>
        <w:t xml:space="preserve">[ ] </w:t>
      </w:r>
      <w:r>
        <w:rPr>
          <w:rFonts w:ascii="Calibri" w:hAnsi="Calibri"/>
        </w:rPr>
        <w:t>Names, appearance, rules, locations, timing, possessions and knowledge are consistent across the batch.</w:t>
      </w:r>
    </w:p>
    <w:p>
      <w:pPr>
        <w:spacing w:after="80"/>
        <w:ind w:left="269" w:hanging="269"/>
      </w:pPr>
      <w:r>
        <w:rPr>
          <w:rFonts w:ascii="Consolas" w:hAnsi="Consolas"/>
          <w:b/>
          <w:color w:val="2E74B5"/>
          <w:sz w:val="20"/>
        </w:rPr>
        <w:t xml:space="preserve">[ ] </w:t>
      </w:r>
      <w:r>
        <w:rPr>
          <w:rFonts w:ascii="Calibri" w:hAnsi="Calibri"/>
        </w:rPr>
        <w:t>The 100-episode roadmap still works after reading the completed opening batch.</w:t>
      </w:r>
    </w:p>
    <w:p>
      <w:pPr>
        <w:spacing w:after="80"/>
        <w:ind w:left="269" w:hanging="269"/>
      </w:pPr>
      <w:r>
        <w:rPr>
          <w:rFonts w:ascii="Consolas" w:hAnsi="Consolas"/>
          <w:b/>
          <w:color w:val="2E74B5"/>
          <w:sz w:val="20"/>
        </w:rPr>
        <w:t xml:space="preserve">[ ] </w:t>
      </w:r>
      <w:r>
        <w:rPr>
          <w:rFonts w:ascii="Calibri" w:hAnsi="Calibri"/>
        </w:rPr>
        <w:t>Every episode has a final title, summary, continuity update and artwork brief.</w:t>
      </w:r>
    </w:p>
    <w:p>
      <w:pPr>
        <w:spacing w:after="80"/>
        <w:ind w:left="269" w:hanging="269"/>
      </w:pPr>
      <w:r>
        <w:rPr>
          <w:rFonts w:ascii="Consolas" w:hAnsi="Consolas"/>
          <w:b/>
          <w:color w:val="2E74B5"/>
          <w:sz w:val="20"/>
        </w:rPr>
        <w:t xml:space="preserve">[ ] </w:t>
      </w:r>
      <w:r>
        <w:rPr>
          <w:rFonts w:ascii="Calibri" w:hAnsi="Calibri"/>
        </w:rPr>
        <w:t>Image work follows episode-artwork-production-specification(1).docx.</w:t>
      </w:r>
    </w:p>
    <w:p>
      <w:pPr>
        <w:spacing w:after="80"/>
        <w:ind w:left="269" w:hanging="269"/>
      </w:pPr>
      <w:r>
        <w:rPr>
          <w:rFonts w:ascii="Consolas" w:hAnsi="Consolas"/>
          <w:b/>
          <w:color w:val="2E74B5"/>
          <w:sz w:val="20"/>
        </w:rPr>
        <w:t xml:space="preserve">[ ] </w:t>
      </w:r>
      <w:r>
        <w:rPr>
          <w:rFonts w:ascii="Calibri" w:hAnsi="Calibri"/>
        </w:rPr>
        <w:t>Brief-compliance findings and output-quality findings have been recorded separately.</w:t>
      </w:r>
    </w:p>
    <w:p>
      <w:pPr>
        <w:spacing w:after="80"/>
        <w:ind w:left="269" w:hanging="269"/>
      </w:pPr>
      <w:r>
        <w:rPr>
          <w:rFonts w:ascii="Consolas" w:hAnsi="Consolas"/>
          <w:b/>
          <w:color w:val="2E74B5"/>
          <w:sz w:val="20"/>
        </w:rPr>
        <w:t xml:space="preserve">[ ] </w:t>
      </w:r>
      <w:r>
        <w:rPr>
          <w:rFonts w:ascii="Calibri" w:hAnsi="Calibri"/>
        </w:rPr>
        <w:t>The batch has a clear approval, revision or stop decision before Episodes 11-20 begin.</w:t>
      </w:r>
    </w:p>
    <w:p>
      <w:pPr>
        <w:pStyle w:val="Heading1"/>
        <w:keepNext/>
        <w:keepLines/>
      </w:pPr>
      <w:r>
        <w:t>12. Definition of done</w:t>
      </w:r>
    </w:p>
    <w:p>
      <w:r>
        <w:rPr>
          <w:rFonts w:ascii="Calibri" w:hAnsi="Calibri"/>
        </w:rPr>
        <w:t>The first Story Creation stage is complete when the brief and private story bible are approved, the 100-episode season has a credible roadmap, Episodes 1-10 can be read as a polished opening arc, artwork briefs and visual references are ready, continuity is reconciled, and a reviewer has explicitly authorised or declined the next ten-episode batch.</w:t>
      </w:r>
    </w:p>
    <w:sectPr w:rsidR="00FC693F" w:rsidRPr="0006063C" w:rsidSect="00034616">
      <w:headerReference w:type="default" r:id="rId9"/>
      <w:footerReference w:type="default" r:id="rId10"/>
      <w:pgSz w:w="12240" w:h="15840"/>
      <w:pgMar w:top="1181" w:right="1440" w:bottom="1123"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right"/>
    </w:pPr>
    <w:r>
      <w:rPr>
        <w:rFonts w:ascii="Calibri" w:hAnsi="Calibri"/>
        <w:color w:val="5E6A76"/>
        <w:sz w:val="17"/>
      </w:rPr>
      <w:t xml:space="preserve">Audio Stories Project  |  </w:t>
    </w:r>
    <w:r>
      <w:rPr>
        <w:rFonts w:ascii="Calibri" w:hAnsi="Calibri"/>
        <w:color w:val="5E6A7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6" w:space="3" w:color="D6DDE5"/>
      </w:pBdr>
    </w:pPr>
    <w:r/>
    <w:r>
      <w:rPr>
        <w:rFonts w:ascii="Calibri" w:hAnsi="Calibri"/>
        <w:b/>
        <w:color w:val="5E6A76"/>
        <w:sz w:val="17"/>
      </w:rPr>
      <w:t>STORY CREATION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pPr>
      <w:rPr>
        <w:rFonts w:ascii="Calibri" w:hAnsi="Calibri"/>
      </w:rPr>
    </w:lvl>
  </w:abstractNum>
  <w:num w:numId="10">
    <w:abstractNumId w:val="9"/>
  </w:num>
  <w:abstractNum w:abstractNumId="10">
    <w:multiLevelType w:val="singleLevel"/>
    <w:lvl w:ilvl="0">
      <w:start w:val="1"/>
      <w:numFmt w:val="decimal"/>
      <w:lvlText w:val="%1."/>
      <w:suff w:val="tab"/>
      <w:pPr>
        <w:tabs>
          <w:tab w:val="num" w:pos="540"/>
        </w:tabs>
        <w:ind w:left="540" w:hanging="270"/>
      </w:pPr>
      <w:rPr>
        <w:rFonts w:ascii="Calibri" w:hAnsi="Calibri"/>
      </w:rPr>
    </w:lvl>
  </w:abstractNum>
  <w:num w:numId="11">
    <w:abstractNumId w:val="10"/>
  </w:num>
  <w:abstractNum w:abstractNumId="11">
    <w:multiLevelType w:val="singleLevel"/>
    <w:lvl w:ilvl="0">
      <w:start w:val="1"/>
      <w:numFmt w:val="bullet"/>
      <w:lvlText w:val="•"/>
      <w:suff w:val="tab"/>
      <w:pPr>
        <w:tabs>
          <w:tab w:val="num" w:pos="540"/>
        </w:tabs>
        <w:ind w:left="540" w:hanging="270"/>
      </w:pPr>
      <w:rPr>
        <w:rFonts w:ascii="Calibri" w:hAnsi="Calibri"/>
      </w:rPr>
    </w:lvl>
  </w:abstractNum>
  <w:num w:numId="12">
    <w:abstractNumId w:val="11"/>
  </w:num>
  <w:abstractNum w:abstractNumId="12">
    <w:multiLevelType w:val="singleLevel"/>
    <w:lvl w:ilvl="0">
      <w:start w:val="1"/>
      <w:numFmt w:val="decimal"/>
      <w:lvlText w:val="%1."/>
      <w:suff w:val="tab"/>
      <w:pPr>
        <w:tabs>
          <w:tab w:val="num" w:pos="540"/>
        </w:tabs>
        <w:ind w:left="540" w:hanging="270"/>
      </w:pPr>
      <w:rPr>
        <w:rFonts w:ascii="Calibri" w:hAnsi="Calibri"/>
      </w:r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025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version>1.1</cp:version>
</cp:coreProperties>
</file>