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596"/>
        <w:gridCol w:w="3597"/>
        <w:gridCol w:w="3597"/>
      </w:tblGrid>
      <w:tr w:rsidR="0020036D" w14:paraId="2E793D4E" w14:textId="77777777" w:rsidTr="00653000">
        <w:tc>
          <w:tcPr>
            <w:tcW w:w="3596" w:type="dxa"/>
            <w:tcBorders>
              <w:top w:val="nil"/>
              <w:left w:val="nil"/>
              <w:bottom w:val="single" w:sz="2" w:space="0" w:color="auto"/>
              <w:right w:val="nil"/>
            </w:tcBorders>
          </w:tcPr>
          <w:p w14:paraId="18281785" w14:textId="48B8913A" w:rsidR="0020036D" w:rsidRDefault="0020036D">
            <w:r>
              <w:rPr>
                <w:noProof/>
              </w:rPr>
              <w:drawing>
                <wp:inline distT="0" distB="0" distL="0" distR="0" wp14:anchorId="3CE59AFA" wp14:editId="7CB0C8DB">
                  <wp:extent cx="2102233" cy="883920"/>
                  <wp:effectExtent l="0" t="0" r="0" b="0"/>
                  <wp:docPr id="16256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4179" cy="893148"/>
                          </a:xfrm>
                          <a:prstGeom prst="rect">
                            <a:avLst/>
                          </a:prstGeom>
                          <a:noFill/>
                          <a:ln>
                            <a:noFill/>
                          </a:ln>
                        </pic:spPr>
                      </pic:pic>
                    </a:graphicData>
                  </a:graphic>
                </wp:inline>
              </w:drawing>
            </w:r>
          </w:p>
        </w:tc>
        <w:tc>
          <w:tcPr>
            <w:tcW w:w="3597" w:type="dxa"/>
            <w:tcBorders>
              <w:top w:val="nil"/>
              <w:left w:val="nil"/>
              <w:bottom w:val="single" w:sz="2" w:space="0" w:color="auto"/>
              <w:right w:val="nil"/>
            </w:tcBorders>
          </w:tcPr>
          <w:p w14:paraId="551B1152" w14:textId="77777777" w:rsidR="0020036D" w:rsidRDefault="0020036D"/>
        </w:tc>
        <w:tc>
          <w:tcPr>
            <w:tcW w:w="3597" w:type="dxa"/>
            <w:tcBorders>
              <w:top w:val="nil"/>
              <w:left w:val="nil"/>
              <w:bottom w:val="single" w:sz="2" w:space="0" w:color="auto"/>
              <w:right w:val="nil"/>
            </w:tcBorders>
            <w:vAlign w:val="center"/>
          </w:tcPr>
          <w:p w14:paraId="0A7465FC" w14:textId="27DE92F8" w:rsidR="0020036D" w:rsidRDefault="0020036D" w:rsidP="0020036D">
            <w:pPr>
              <w:jc w:val="center"/>
            </w:pPr>
            <w:r>
              <w:rPr>
                <w:noProof/>
              </w:rPr>
              <w:drawing>
                <wp:inline distT="0" distB="0" distL="0" distR="0" wp14:anchorId="2937058A" wp14:editId="714EF242">
                  <wp:extent cx="1485900" cy="1485900"/>
                  <wp:effectExtent l="0" t="0" r="0" b="0"/>
                  <wp:docPr id="1816466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tc>
      </w:tr>
      <w:tr w:rsidR="0020036D" w14:paraId="3E8A3243" w14:textId="77777777" w:rsidTr="002A21DB">
        <w:tc>
          <w:tcPr>
            <w:tcW w:w="3596" w:type="dxa"/>
            <w:tcBorders>
              <w:top w:val="single" w:sz="2" w:space="0" w:color="auto"/>
            </w:tcBorders>
          </w:tcPr>
          <w:p w14:paraId="2BD0784D" w14:textId="77777777" w:rsidR="007F0E0D" w:rsidRDefault="007F0E0D" w:rsidP="00870418">
            <w:r>
              <w:rPr>
                <w:rStyle w:val="Strong"/>
              </w:rPr>
              <w:t>Patient Name:</w:t>
            </w:r>
            <w:r>
              <w:t xml:space="preserve"> Brenda Jones </w:t>
            </w:r>
            <w:r>
              <w:rPr>
                <w:rStyle w:val="Strong"/>
              </w:rPr>
              <w:t>Date of Birth:</w:t>
            </w:r>
            <w:r>
              <w:t xml:space="preserve"> 07/16/1996 </w:t>
            </w:r>
          </w:p>
          <w:p w14:paraId="7C319B1F" w14:textId="7C92EE64" w:rsidR="0020036D" w:rsidRPr="0020036D" w:rsidRDefault="007F0E0D" w:rsidP="00870418">
            <w:pPr>
              <w:rPr>
                <w:color w:val="EE0000"/>
              </w:rPr>
            </w:pPr>
            <w:r>
              <w:rPr>
                <w:rStyle w:val="Strong"/>
              </w:rPr>
              <w:t>MRN:</w:t>
            </w:r>
            <w:r>
              <w:t xml:space="preserve"> 554321</w:t>
            </w:r>
          </w:p>
        </w:tc>
        <w:tc>
          <w:tcPr>
            <w:tcW w:w="3597" w:type="dxa"/>
            <w:vMerge w:val="restart"/>
            <w:tcBorders>
              <w:top w:val="single" w:sz="2" w:space="0" w:color="auto"/>
            </w:tcBorders>
          </w:tcPr>
          <w:p w14:paraId="7C52A953" w14:textId="77777777" w:rsidR="007F0E0D" w:rsidRDefault="007F0E0D" w:rsidP="002A21DB">
            <w:r>
              <w:rPr>
                <w:rStyle w:val="Strong"/>
              </w:rPr>
              <w:t>Ordering Physician:</w:t>
            </w:r>
            <w:r>
              <w:t xml:space="preserve"> Dr. Patricia Wells </w:t>
            </w:r>
          </w:p>
          <w:p w14:paraId="1618E089" w14:textId="70E0D4DA" w:rsidR="0020036D" w:rsidRPr="0020036D" w:rsidRDefault="007F0E0D" w:rsidP="002A21DB">
            <w:pPr>
              <w:rPr>
                <w:color w:val="EE0000"/>
              </w:rPr>
            </w:pPr>
            <w:r>
              <w:rPr>
                <w:rStyle w:val="Strong"/>
              </w:rPr>
              <w:t>Procedure:</w:t>
            </w:r>
            <w:r>
              <w:t xml:space="preserve"> Ultrasound-guided kidney biopsy</w:t>
            </w:r>
          </w:p>
        </w:tc>
        <w:tc>
          <w:tcPr>
            <w:tcW w:w="3597" w:type="dxa"/>
            <w:tcBorders>
              <w:top w:val="single" w:sz="2" w:space="0" w:color="auto"/>
            </w:tcBorders>
          </w:tcPr>
          <w:p w14:paraId="536AAD61" w14:textId="79939CB8" w:rsidR="0020036D" w:rsidRPr="0020036D" w:rsidRDefault="0020036D">
            <w:pPr>
              <w:rPr>
                <w:color w:val="EE0000"/>
              </w:rPr>
            </w:pPr>
          </w:p>
        </w:tc>
      </w:tr>
      <w:tr w:rsidR="0020036D" w14:paraId="558D31B0" w14:textId="77777777" w:rsidTr="00653000">
        <w:tc>
          <w:tcPr>
            <w:tcW w:w="3596" w:type="dxa"/>
            <w:tcBorders>
              <w:bottom w:val="single" w:sz="18" w:space="0" w:color="auto"/>
            </w:tcBorders>
          </w:tcPr>
          <w:p w14:paraId="56B70DE1" w14:textId="7C1FEA56" w:rsidR="0020036D" w:rsidRPr="0020036D" w:rsidRDefault="00653000">
            <w:pPr>
              <w:rPr>
                <w:color w:val="EE0000"/>
              </w:rPr>
            </w:pPr>
            <w:proofErr w:type="gramStart"/>
            <w:r w:rsidRPr="00653000">
              <w:rPr>
                <w:b/>
                <w:bCs/>
              </w:rPr>
              <w:t>Accession #:</w:t>
            </w:r>
            <w:proofErr w:type="gramEnd"/>
            <w:r w:rsidRPr="00653000">
              <w:t xml:space="preserve"> </w:t>
            </w:r>
            <w:r w:rsidR="007F0E0D">
              <w:t>SK-25-88765</w:t>
            </w:r>
          </w:p>
        </w:tc>
        <w:tc>
          <w:tcPr>
            <w:tcW w:w="3597" w:type="dxa"/>
            <w:vMerge/>
            <w:tcBorders>
              <w:bottom w:val="single" w:sz="18" w:space="0" w:color="auto"/>
            </w:tcBorders>
          </w:tcPr>
          <w:p w14:paraId="479C4CE6" w14:textId="77777777" w:rsidR="0020036D" w:rsidRPr="0020036D" w:rsidRDefault="0020036D">
            <w:pPr>
              <w:rPr>
                <w:color w:val="EE0000"/>
              </w:rPr>
            </w:pPr>
          </w:p>
        </w:tc>
        <w:tc>
          <w:tcPr>
            <w:tcW w:w="3597" w:type="dxa"/>
            <w:tcBorders>
              <w:bottom w:val="single" w:sz="18" w:space="0" w:color="auto"/>
            </w:tcBorders>
          </w:tcPr>
          <w:p w14:paraId="523EFD6D" w14:textId="20DD52FB" w:rsidR="0020036D" w:rsidRPr="0020036D" w:rsidRDefault="007F0E0D" w:rsidP="00870418">
            <w:pPr>
              <w:rPr>
                <w:color w:val="EE0000"/>
              </w:rPr>
            </w:pPr>
            <w:r>
              <w:rPr>
                <w:rStyle w:val="Strong"/>
              </w:rPr>
              <w:t>Date of Procedure:</w:t>
            </w:r>
            <w:r>
              <w:t xml:space="preserve"> 06/23/2025 </w:t>
            </w:r>
            <w:r>
              <w:rPr>
                <w:rStyle w:val="Strong"/>
              </w:rPr>
              <w:t>Date of Report:</w:t>
            </w:r>
            <w:r>
              <w:t xml:space="preserve"> 06/25/2025</w:t>
            </w:r>
          </w:p>
        </w:tc>
      </w:tr>
      <w:tr w:rsidR="0020036D" w14:paraId="3D15D57D" w14:textId="77777777" w:rsidTr="00101AE1">
        <w:trPr>
          <w:trHeight w:val="3969"/>
        </w:trPr>
        <w:tc>
          <w:tcPr>
            <w:tcW w:w="10790" w:type="dxa"/>
            <w:gridSpan w:val="3"/>
            <w:tcBorders>
              <w:top w:val="single" w:sz="18" w:space="0" w:color="auto"/>
              <w:left w:val="nil"/>
              <w:right w:val="nil"/>
            </w:tcBorders>
            <w:vAlign w:val="center"/>
          </w:tcPr>
          <w:p w14:paraId="20F5982C" w14:textId="77777777" w:rsidR="007F0E0D" w:rsidRPr="007F0E0D" w:rsidRDefault="007F0E0D" w:rsidP="007F0E0D">
            <w:pPr>
              <w:rPr>
                <w:rStyle w:val="Strong"/>
              </w:rPr>
            </w:pPr>
            <w:r w:rsidRPr="007F0E0D">
              <w:rPr>
                <w:rStyle w:val="Strong"/>
              </w:rPr>
              <w:t xml:space="preserve">Clinical History: </w:t>
            </w:r>
            <w:r w:rsidRPr="007F0E0D">
              <w:rPr>
                <w:rStyle w:val="Strong"/>
                <w:b w:val="0"/>
                <w:bCs w:val="0"/>
              </w:rPr>
              <w:t xml:space="preserve">29-year-old female with a known history of Systemic Lupus Erythematosus (SLE), presenting with new-onset proteinuria and hematuria. Biopsy is performed to </w:t>
            </w:r>
            <w:proofErr w:type="gramStart"/>
            <w:r w:rsidRPr="007F0E0D">
              <w:rPr>
                <w:rStyle w:val="Strong"/>
                <w:b w:val="0"/>
                <w:bCs w:val="0"/>
              </w:rPr>
              <w:t>evaluate for</w:t>
            </w:r>
            <w:proofErr w:type="gramEnd"/>
            <w:r w:rsidRPr="007F0E0D">
              <w:rPr>
                <w:rStyle w:val="Strong"/>
                <w:b w:val="0"/>
                <w:bCs w:val="0"/>
              </w:rPr>
              <w:t xml:space="preserve"> lupus nephritis.</w:t>
            </w:r>
          </w:p>
          <w:p w14:paraId="08DBA601" w14:textId="77777777" w:rsidR="007F0E0D" w:rsidRPr="007F0E0D" w:rsidRDefault="007F0E0D" w:rsidP="007F0E0D">
            <w:pPr>
              <w:rPr>
                <w:rStyle w:val="Strong"/>
              </w:rPr>
            </w:pPr>
          </w:p>
          <w:p w14:paraId="6D7C3BEB" w14:textId="77777777" w:rsidR="007F0E0D" w:rsidRPr="007F0E0D" w:rsidRDefault="007F0E0D" w:rsidP="007F0E0D">
            <w:pPr>
              <w:rPr>
                <w:rStyle w:val="Strong"/>
              </w:rPr>
            </w:pPr>
            <w:r w:rsidRPr="007F0E0D">
              <w:rPr>
                <w:rStyle w:val="Strong"/>
              </w:rPr>
              <w:t xml:space="preserve">Diagnosis: Kidney, native, biopsy: </w:t>
            </w:r>
            <w:r w:rsidRPr="007F0E0D">
              <w:rPr>
                <w:rStyle w:val="Strong"/>
                <w:b w:val="0"/>
                <w:bCs w:val="0"/>
              </w:rPr>
              <w:t>Lupus Nephritis, Class IV-G (A)</w:t>
            </w:r>
          </w:p>
          <w:p w14:paraId="5213921E" w14:textId="77777777" w:rsidR="007F0E0D" w:rsidRPr="007F0E0D" w:rsidRDefault="007F0E0D" w:rsidP="007F0E0D">
            <w:pPr>
              <w:rPr>
                <w:rStyle w:val="Strong"/>
              </w:rPr>
            </w:pPr>
          </w:p>
          <w:p w14:paraId="53D96A87" w14:textId="77777777" w:rsidR="007F0E0D" w:rsidRPr="007F0E0D" w:rsidRDefault="007F0E0D" w:rsidP="007F0E0D">
            <w:pPr>
              <w:rPr>
                <w:rStyle w:val="Strong"/>
              </w:rPr>
            </w:pPr>
            <w:r w:rsidRPr="007F0E0D">
              <w:rPr>
                <w:rStyle w:val="Strong"/>
              </w:rPr>
              <w:t xml:space="preserve">Light Microscopy Description: </w:t>
            </w:r>
            <w:r w:rsidRPr="007F0E0D">
              <w:rPr>
                <w:rStyle w:val="Strong"/>
                <w:b w:val="0"/>
                <w:bCs w:val="0"/>
              </w:rPr>
              <w:t>The specimen consists of two cores of renal cortex and medulla. Up to 28 glomeruli are identified for evaluation. All glomeruli show global, diffuse endocapillary and mesangial hypercellularity with neutrophilic infiltration. Multiple glomeruli contain wire loop lesions. There is moderate tubular atrophy and interstitial fibrosis involving approximately 30% of the cortex. No crescents or fibrinoid necrosis are seen.</w:t>
            </w:r>
          </w:p>
          <w:p w14:paraId="56D8B0E2" w14:textId="77777777" w:rsidR="007F0E0D" w:rsidRPr="007F0E0D" w:rsidRDefault="007F0E0D" w:rsidP="007F0E0D">
            <w:pPr>
              <w:rPr>
                <w:rStyle w:val="Strong"/>
              </w:rPr>
            </w:pPr>
          </w:p>
          <w:p w14:paraId="5206A0E6" w14:textId="77777777" w:rsidR="007F0E0D" w:rsidRPr="007F0E0D" w:rsidRDefault="007F0E0D" w:rsidP="007F0E0D">
            <w:pPr>
              <w:rPr>
                <w:rStyle w:val="Strong"/>
              </w:rPr>
            </w:pPr>
            <w:r w:rsidRPr="007F0E0D">
              <w:rPr>
                <w:rStyle w:val="Strong"/>
              </w:rPr>
              <w:t>Immunofluorescence Description:</w:t>
            </w:r>
          </w:p>
          <w:p w14:paraId="63576661" w14:textId="77777777" w:rsidR="007F0E0D" w:rsidRPr="007F0E0D" w:rsidRDefault="007F0E0D" w:rsidP="007F0E0D">
            <w:pPr>
              <w:rPr>
                <w:rStyle w:val="Strong"/>
                <w:b w:val="0"/>
                <w:bCs w:val="0"/>
              </w:rPr>
            </w:pPr>
            <w:r w:rsidRPr="007F0E0D">
              <w:rPr>
                <w:rStyle w:val="Strong"/>
                <w:b w:val="0"/>
                <w:bCs w:val="0"/>
              </w:rPr>
              <w:t>IgG: 3+ granular staining in mesangium and capillary loops (full house pattern).</w:t>
            </w:r>
          </w:p>
          <w:p w14:paraId="2AFF7460" w14:textId="77777777" w:rsidR="007F0E0D" w:rsidRPr="007F0E0D" w:rsidRDefault="007F0E0D" w:rsidP="007F0E0D">
            <w:pPr>
              <w:rPr>
                <w:rStyle w:val="Strong"/>
                <w:b w:val="0"/>
                <w:bCs w:val="0"/>
              </w:rPr>
            </w:pPr>
            <w:r w:rsidRPr="007F0E0D">
              <w:rPr>
                <w:rStyle w:val="Strong"/>
                <w:b w:val="0"/>
                <w:bCs w:val="0"/>
              </w:rPr>
              <w:t>IgA: 2+ granular staining in mesangium and capillary loops.</w:t>
            </w:r>
          </w:p>
          <w:p w14:paraId="25205840" w14:textId="77777777" w:rsidR="007F0E0D" w:rsidRPr="007F0E0D" w:rsidRDefault="007F0E0D" w:rsidP="007F0E0D">
            <w:pPr>
              <w:rPr>
                <w:rStyle w:val="Strong"/>
                <w:b w:val="0"/>
                <w:bCs w:val="0"/>
              </w:rPr>
            </w:pPr>
            <w:r w:rsidRPr="007F0E0D">
              <w:rPr>
                <w:rStyle w:val="Strong"/>
                <w:b w:val="0"/>
                <w:bCs w:val="0"/>
              </w:rPr>
              <w:t>IgM: 2+ granular staining in mesangium and capillary loops.</w:t>
            </w:r>
          </w:p>
          <w:p w14:paraId="64E64CC4" w14:textId="77777777" w:rsidR="007F0E0D" w:rsidRPr="007F0E0D" w:rsidRDefault="007F0E0D" w:rsidP="007F0E0D">
            <w:pPr>
              <w:rPr>
                <w:rStyle w:val="Strong"/>
                <w:b w:val="0"/>
                <w:bCs w:val="0"/>
              </w:rPr>
            </w:pPr>
            <w:r w:rsidRPr="007F0E0D">
              <w:rPr>
                <w:rStyle w:val="Strong"/>
                <w:b w:val="0"/>
                <w:bCs w:val="0"/>
              </w:rPr>
              <w:t>C3: 3+ granular staining in mesangium and capillary loops.</w:t>
            </w:r>
          </w:p>
          <w:p w14:paraId="721BD9E9" w14:textId="77777777" w:rsidR="007F0E0D" w:rsidRPr="007F0E0D" w:rsidRDefault="007F0E0D" w:rsidP="007F0E0D">
            <w:pPr>
              <w:rPr>
                <w:rStyle w:val="Strong"/>
                <w:b w:val="0"/>
                <w:bCs w:val="0"/>
              </w:rPr>
            </w:pPr>
            <w:r w:rsidRPr="007F0E0D">
              <w:rPr>
                <w:rStyle w:val="Strong"/>
                <w:b w:val="0"/>
                <w:bCs w:val="0"/>
              </w:rPr>
              <w:t>C1q: 2+ granular staining in mesangium and capillary loops.</w:t>
            </w:r>
          </w:p>
          <w:p w14:paraId="3183B043" w14:textId="77777777" w:rsidR="007F0E0D" w:rsidRPr="007F0E0D" w:rsidRDefault="007F0E0D" w:rsidP="007F0E0D">
            <w:pPr>
              <w:rPr>
                <w:rStyle w:val="Strong"/>
                <w:b w:val="0"/>
                <w:bCs w:val="0"/>
              </w:rPr>
            </w:pPr>
            <w:r w:rsidRPr="007F0E0D">
              <w:rPr>
                <w:rStyle w:val="Strong"/>
                <w:b w:val="0"/>
                <w:bCs w:val="0"/>
              </w:rPr>
              <w:t>Fibrinogen: Negative.</w:t>
            </w:r>
          </w:p>
          <w:p w14:paraId="240DD47B" w14:textId="77777777" w:rsidR="007F0E0D" w:rsidRPr="007F0E0D" w:rsidRDefault="007F0E0D" w:rsidP="007F0E0D">
            <w:pPr>
              <w:rPr>
                <w:rStyle w:val="Strong"/>
                <w:b w:val="0"/>
                <w:bCs w:val="0"/>
              </w:rPr>
            </w:pPr>
            <w:r w:rsidRPr="007F0E0D">
              <w:rPr>
                <w:rStyle w:val="Strong"/>
                <w:b w:val="0"/>
                <w:bCs w:val="0"/>
              </w:rPr>
              <w:t>Albumin: Negative.</w:t>
            </w:r>
          </w:p>
          <w:p w14:paraId="419D39DE" w14:textId="77777777" w:rsidR="007F0E0D" w:rsidRPr="007F0E0D" w:rsidRDefault="007F0E0D" w:rsidP="007F0E0D">
            <w:pPr>
              <w:rPr>
                <w:rStyle w:val="Strong"/>
              </w:rPr>
            </w:pPr>
          </w:p>
          <w:p w14:paraId="47C1C28E" w14:textId="77777777" w:rsidR="007F0E0D" w:rsidRPr="007F0E0D" w:rsidRDefault="007F0E0D" w:rsidP="007F0E0D">
            <w:pPr>
              <w:rPr>
                <w:rStyle w:val="Strong"/>
              </w:rPr>
            </w:pPr>
            <w:r w:rsidRPr="007F0E0D">
              <w:rPr>
                <w:rStyle w:val="Strong"/>
              </w:rPr>
              <w:t xml:space="preserve">Electron Microscopy Description: </w:t>
            </w:r>
            <w:r w:rsidRPr="007F0E0D">
              <w:rPr>
                <w:rStyle w:val="Strong"/>
                <w:b w:val="0"/>
                <w:bCs w:val="0"/>
              </w:rPr>
              <w:t xml:space="preserve">Electron microscopy confirms diffuse subendothelial and mesangial electron-dense deposits. </w:t>
            </w:r>
            <w:proofErr w:type="spellStart"/>
            <w:r w:rsidRPr="007F0E0D">
              <w:rPr>
                <w:rStyle w:val="Strong"/>
                <w:b w:val="0"/>
                <w:bCs w:val="0"/>
              </w:rPr>
              <w:t>Tubuloreticular</w:t>
            </w:r>
            <w:proofErr w:type="spellEnd"/>
            <w:r w:rsidRPr="007F0E0D">
              <w:rPr>
                <w:rStyle w:val="Strong"/>
                <w:b w:val="0"/>
                <w:bCs w:val="0"/>
              </w:rPr>
              <w:t xml:space="preserve"> inclusions are present within endothelial cells. There is approximately 50% podocyte foot process effacement.</w:t>
            </w:r>
          </w:p>
          <w:p w14:paraId="6F51914F" w14:textId="77777777" w:rsidR="007F0E0D" w:rsidRPr="007F0E0D" w:rsidRDefault="007F0E0D" w:rsidP="007F0E0D">
            <w:pPr>
              <w:rPr>
                <w:rStyle w:val="Strong"/>
              </w:rPr>
            </w:pPr>
          </w:p>
          <w:p w14:paraId="78CBCA1E" w14:textId="274067BB" w:rsidR="0020036D" w:rsidRPr="0020036D" w:rsidRDefault="007F0E0D" w:rsidP="007F0E0D">
            <w:pPr>
              <w:rPr>
                <w:color w:val="EE0000"/>
              </w:rPr>
            </w:pPr>
            <w:r w:rsidRPr="007F0E0D">
              <w:rPr>
                <w:rStyle w:val="Strong"/>
              </w:rPr>
              <w:t xml:space="preserve">Comment: </w:t>
            </w:r>
            <w:r w:rsidRPr="007F0E0D">
              <w:rPr>
                <w:rStyle w:val="Strong"/>
                <w:b w:val="0"/>
                <w:bCs w:val="0"/>
              </w:rPr>
              <w:t>The combined findings are diagnostic of active, diffuse global lupus nephritis, ISN/RPS 2003 Class IV-G (A).</w:t>
            </w:r>
          </w:p>
        </w:tc>
      </w:tr>
      <w:tr w:rsidR="0020036D" w14:paraId="69A024BA" w14:textId="77777777" w:rsidTr="00653000">
        <w:tc>
          <w:tcPr>
            <w:tcW w:w="3596" w:type="dxa"/>
            <w:tcBorders>
              <w:left w:val="nil"/>
              <w:right w:val="nil"/>
            </w:tcBorders>
          </w:tcPr>
          <w:p w14:paraId="09ABE82B" w14:textId="36BFC7B3" w:rsidR="0020036D" w:rsidRPr="0020036D" w:rsidRDefault="00653000">
            <w:pPr>
              <w:rPr>
                <w:color w:val="EE0000"/>
              </w:rPr>
            </w:pPr>
            <w:r w:rsidRPr="00653000">
              <w:rPr>
                <w:b/>
                <w:bCs/>
              </w:rPr>
              <w:t>Specimen:</w:t>
            </w:r>
            <w:r w:rsidRPr="00653000">
              <w:t xml:space="preserve"> </w:t>
            </w:r>
            <w:r w:rsidR="007F0E0D">
              <w:t>Native kidney biopsy</w:t>
            </w:r>
          </w:p>
        </w:tc>
        <w:tc>
          <w:tcPr>
            <w:tcW w:w="3597" w:type="dxa"/>
            <w:tcBorders>
              <w:left w:val="nil"/>
              <w:right w:val="nil"/>
            </w:tcBorders>
          </w:tcPr>
          <w:p w14:paraId="22F65F3D" w14:textId="77777777" w:rsidR="0020036D" w:rsidRDefault="0020036D"/>
        </w:tc>
        <w:tc>
          <w:tcPr>
            <w:tcW w:w="3597" w:type="dxa"/>
            <w:tcBorders>
              <w:left w:val="nil"/>
              <w:right w:val="nil"/>
            </w:tcBorders>
          </w:tcPr>
          <w:p w14:paraId="60B061AD" w14:textId="3E21662F" w:rsidR="0020036D" w:rsidRPr="00653000" w:rsidRDefault="00653000">
            <w:pPr>
              <w:rPr>
                <w:b/>
                <w:bCs/>
              </w:rPr>
            </w:pPr>
            <w:r>
              <w:rPr>
                <w:rStyle w:val="Strong"/>
              </w:rPr>
              <w:t>Pathologist:</w:t>
            </w:r>
            <w:r>
              <w:t xml:space="preserve"> </w:t>
            </w:r>
            <w:r w:rsidR="007F0E0D">
              <w:t>Dr. Richard Lee</w:t>
            </w:r>
          </w:p>
        </w:tc>
      </w:tr>
      <w:tr w:rsidR="0020036D" w14:paraId="7686231C" w14:textId="77777777" w:rsidTr="00201830">
        <w:tc>
          <w:tcPr>
            <w:tcW w:w="3596" w:type="dxa"/>
            <w:tcBorders>
              <w:left w:val="nil"/>
              <w:bottom w:val="nil"/>
              <w:right w:val="nil"/>
            </w:tcBorders>
          </w:tcPr>
          <w:p w14:paraId="3FADEF94" w14:textId="68494DA8" w:rsidR="0020036D" w:rsidRPr="0020036D" w:rsidRDefault="00653000">
            <w:pPr>
              <w:rPr>
                <w:color w:val="EE0000"/>
              </w:rPr>
            </w:pPr>
            <w:proofErr w:type="gramStart"/>
            <w:r w:rsidRPr="00653000">
              <w:rPr>
                <w:b/>
                <w:bCs/>
              </w:rPr>
              <w:t>Report status</w:t>
            </w:r>
            <w:proofErr w:type="gramEnd"/>
            <w:r w:rsidRPr="00653000">
              <w:rPr>
                <w:b/>
                <w:bCs/>
              </w:rPr>
              <w:t>:</w:t>
            </w:r>
            <w:r w:rsidRPr="00653000">
              <w:t xml:space="preserve"> Final</w:t>
            </w:r>
          </w:p>
        </w:tc>
        <w:tc>
          <w:tcPr>
            <w:tcW w:w="3597" w:type="dxa"/>
            <w:tcBorders>
              <w:left w:val="nil"/>
              <w:bottom w:val="nil"/>
              <w:right w:val="nil"/>
            </w:tcBorders>
          </w:tcPr>
          <w:p w14:paraId="0ECCCBD9" w14:textId="77777777" w:rsidR="0020036D" w:rsidRDefault="0020036D"/>
        </w:tc>
        <w:tc>
          <w:tcPr>
            <w:tcW w:w="3597" w:type="dxa"/>
            <w:tcBorders>
              <w:left w:val="nil"/>
              <w:bottom w:val="nil"/>
              <w:right w:val="nil"/>
            </w:tcBorders>
          </w:tcPr>
          <w:p w14:paraId="61B4F775" w14:textId="77777777" w:rsidR="0020036D" w:rsidRDefault="0020036D"/>
        </w:tc>
      </w:tr>
    </w:tbl>
    <w:p w14:paraId="6CF723B4" w14:textId="77777777" w:rsidR="0023297D" w:rsidRDefault="0023297D"/>
    <w:p w14:paraId="00958092" w14:textId="77777777" w:rsidR="00653000" w:rsidRPr="00653000" w:rsidRDefault="00653000" w:rsidP="00653000"/>
    <w:p w14:paraId="6C678AB0" w14:textId="5B40610E" w:rsidR="00653000" w:rsidRPr="00653000" w:rsidRDefault="00653000" w:rsidP="00653000">
      <w:pPr>
        <w:tabs>
          <w:tab w:val="left" w:pos="2076"/>
        </w:tabs>
      </w:pPr>
      <w:r>
        <w:tab/>
      </w:r>
    </w:p>
    <w:sectPr w:rsidR="00653000" w:rsidRPr="00653000" w:rsidSect="0020036D">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01D2" w14:textId="77777777" w:rsidR="005E2156" w:rsidRDefault="005E2156" w:rsidP="0020036D">
      <w:pPr>
        <w:spacing w:after="0" w:line="240" w:lineRule="auto"/>
      </w:pPr>
      <w:r>
        <w:separator/>
      </w:r>
    </w:p>
  </w:endnote>
  <w:endnote w:type="continuationSeparator" w:id="0">
    <w:p w14:paraId="5ED23BF7" w14:textId="77777777" w:rsidR="005E2156" w:rsidRDefault="005E2156" w:rsidP="00200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58C6" w14:textId="3F846AD6" w:rsidR="0020036D" w:rsidRPr="0020036D" w:rsidRDefault="00653000">
    <w:pPr>
      <w:pStyle w:val="Footer"/>
      <w:rPr>
        <w:color w:val="EE0000"/>
      </w:rPr>
    </w:pPr>
    <w:r w:rsidRPr="00653000">
      <w:rPr>
        <w:b/>
        <w:bCs/>
      </w:rPr>
      <w:t>Accession #:</w:t>
    </w:r>
    <w:r w:rsidRPr="00653000">
      <w:t xml:space="preserve"> </w:t>
    </w:r>
    <w:r w:rsidR="007F0E0D">
      <w:t>SK-25-88765</w:t>
    </w:r>
  </w:p>
  <w:p w14:paraId="6EF3D2C2" w14:textId="59B8A597" w:rsidR="0020036D" w:rsidRDefault="0020036D" w:rsidP="0020036D">
    <w:pPr>
      <w:pStyle w:val="Footer"/>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FBA8" w14:textId="77777777" w:rsidR="005E2156" w:rsidRDefault="005E2156" w:rsidP="0020036D">
      <w:pPr>
        <w:spacing w:after="0" w:line="240" w:lineRule="auto"/>
      </w:pPr>
      <w:r>
        <w:separator/>
      </w:r>
    </w:p>
  </w:footnote>
  <w:footnote w:type="continuationSeparator" w:id="0">
    <w:p w14:paraId="7EA1903F" w14:textId="77777777" w:rsidR="005E2156" w:rsidRDefault="005E2156" w:rsidP="002003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NjCyMLA0MLMwNTVT0lEKTi0uzszPAykwrgUAC2FjCiwAAAA="/>
  </w:docVars>
  <w:rsids>
    <w:rsidRoot w:val="0023297D"/>
    <w:rsid w:val="000023C6"/>
    <w:rsid w:val="00101AE1"/>
    <w:rsid w:val="001914AB"/>
    <w:rsid w:val="00195B31"/>
    <w:rsid w:val="0020036D"/>
    <w:rsid w:val="00201830"/>
    <w:rsid w:val="0023297D"/>
    <w:rsid w:val="002A21DB"/>
    <w:rsid w:val="004D18A4"/>
    <w:rsid w:val="005E2156"/>
    <w:rsid w:val="00653000"/>
    <w:rsid w:val="00703600"/>
    <w:rsid w:val="007F0E0D"/>
    <w:rsid w:val="0084266D"/>
    <w:rsid w:val="00870418"/>
    <w:rsid w:val="00A72A61"/>
    <w:rsid w:val="00B0017C"/>
    <w:rsid w:val="00B10AB9"/>
    <w:rsid w:val="00C37A28"/>
    <w:rsid w:val="00C71457"/>
    <w:rsid w:val="00EB5157"/>
    <w:rsid w:val="00F76B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0C0E5"/>
  <w15:chartTrackingRefBased/>
  <w15:docId w15:val="{B839E3AA-A685-48EA-84E2-CA395979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97D"/>
    <w:rPr>
      <w:rFonts w:eastAsiaTheme="majorEastAsia" w:cstheme="majorBidi"/>
      <w:color w:val="272727" w:themeColor="text1" w:themeTint="D8"/>
    </w:rPr>
  </w:style>
  <w:style w:type="paragraph" w:styleId="Title">
    <w:name w:val="Title"/>
    <w:basedOn w:val="Normal"/>
    <w:next w:val="Normal"/>
    <w:link w:val="TitleChar"/>
    <w:uiPriority w:val="10"/>
    <w:qFormat/>
    <w:rsid w:val="00232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97D"/>
    <w:pPr>
      <w:spacing w:before="160"/>
      <w:jc w:val="center"/>
    </w:pPr>
    <w:rPr>
      <w:i/>
      <w:iCs/>
      <w:color w:val="404040" w:themeColor="text1" w:themeTint="BF"/>
    </w:rPr>
  </w:style>
  <w:style w:type="character" w:customStyle="1" w:styleId="QuoteChar">
    <w:name w:val="Quote Char"/>
    <w:basedOn w:val="DefaultParagraphFont"/>
    <w:link w:val="Quote"/>
    <w:uiPriority w:val="29"/>
    <w:rsid w:val="0023297D"/>
    <w:rPr>
      <w:i/>
      <w:iCs/>
      <w:color w:val="404040" w:themeColor="text1" w:themeTint="BF"/>
    </w:rPr>
  </w:style>
  <w:style w:type="paragraph" w:styleId="ListParagraph">
    <w:name w:val="List Paragraph"/>
    <w:basedOn w:val="Normal"/>
    <w:uiPriority w:val="34"/>
    <w:qFormat/>
    <w:rsid w:val="0023297D"/>
    <w:pPr>
      <w:ind w:left="720"/>
      <w:contextualSpacing/>
    </w:pPr>
  </w:style>
  <w:style w:type="character" w:styleId="IntenseEmphasis">
    <w:name w:val="Intense Emphasis"/>
    <w:basedOn w:val="DefaultParagraphFont"/>
    <w:uiPriority w:val="21"/>
    <w:qFormat/>
    <w:rsid w:val="0023297D"/>
    <w:rPr>
      <w:i/>
      <w:iCs/>
      <w:color w:val="0F4761" w:themeColor="accent1" w:themeShade="BF"/>
    </w:rPr>
  </w:style>
  <w:style w:type="paragraph" w:styleId="IntenseQuote">
    <w:name w:val="Intense Quote"/>
    <w:basedOn w:val="Normal"/>
    <w:next w:val="Normal"/>
    <w:link w:val="IntenseQuoteChar"/>
    <w:uiPriority w:val="30"/>
    <w:qFormat/>
    <w:rsid w:val="00232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97D"/>
    <w:rPr>
      <w:i/>
      <w:iCs/>
      <w:color w:val="0F4761" w:themeColor="accent1" w:themeShade="BF"/>
    </w:rPr>
  </w:style>
  <w:style w:type="character" w:styleId="IntenseReference">
    <w:name w:val="Intense Reference"/>
    <w:basedOn w:val="DefaultParagraphFont"/>
    <w:uiPriority w:val="32"/>
    <w:qFormat/>
    <w:rsid w:val="0023297D"/>
    <w:rPr>
      <w:b/>
      <w:bCs/>
      <w:smallCaps/>
      <w:color w:val="0F4761" w:themeColor="accent1" w:themeShade="BF"/>
      <w:spacing w:val="5"/>
    </w:rPr>
  </w:style>
  <w:style w:type="table" w:styleId="TableGrid">
    <w:name w:val="Table Grid"/>
    <w:basedOn w:val="TableNormal"/>
    <w:uiPriority w:val="39"/>
    <w:rsid w:val="00200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36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0036D"/>
  </w:style>
  <w:style w:type="paragraph" w:styleId="Footer">
    <w:name w:val="footer"/>
    <w:basedOn w:val="Normal"/>
    <w:link w:val="FooterChar"/>
    <w:uiPriority w:val="99"/>
    <w:unhideWhenUsed/>
    <w:rsid w:val="0020036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0036D"/>
  </w:style>
  <w:style w:type="character" w:styleId="Strong">
    <w:name w:val="Strong"/>
    <w:basedOn w:val="DefaultParagraphFont"/>
    <w:uiPriority w:val="22"/>
    <w:qFormat/>
    <w:rsid w:val="00653000"/>
    <w:rPr>
      <w:b/>
      <w:bCs/>
    </w:rPr>
  </w:style>
  <w:style w:type="character" w:styleId="Emphasis">
    <w:name w:val="Emphasis"/>
    <w:basedOn w:val="DefaultParagraphFont"/>
    <w:uiPriority w:val="20"/>
    <w:qFormat/>
    <w:rsid w:val="007036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2860">
      <w:bodyDiv w:val="1"/>
      <w:marLeft w:val="0"/>
      <w:marRight w:val="0"/>
      <w:marTop w:val="0"/>
      <w:marBottom w:val="0"/>
      <w:divBdr>
        <w:top w:val="none" w:sz="0" w:space="0" w:color="auto"/>
        <w:left w:val="none" w:sz="0" w:space="0" w:color="auto"/>
        <w:bottom w:val="none" w:sz="0" w:space="0" w:color="auto"/>
        <w:right w:val="none" w:sz="0" w:space="0" w:color="auto"/>
      </w:divBdr>
    </w:div>
    <w:div w:id="94332286">
      <w:bodyDiv w:val="1"/>
      <w:marLeft w:val="0"/>
      <w:marRight w:val="0"/>
      <w:marTop w:val="0"/>
      <w:marBottom w:val="0"/>
      <w:divBdr>
        <w:top w:val="none" w:sz="0" w:space="0" w:color="auto"/>
        <w:left w:val="none" w:sz="0" w:space="0" w:color="auto"/>
        <w:bottom w:val="none" w:sz="0" w:space="0" w:color="auto"/>
        <w:right w:val="none" w:sz="0" w:space="0" w:color="auto"/>
      </w:divBdr>
    </w:div>
    <w:div w:id="789935738">
      <w:bodyDiv w:val="1"/>
      <w:marLeft w:val="0"/>
      <w:marRight w:val="0"/>
      <w:marTop w:val="0"/>
      <w:marBottom w:val="0"/>
      <w:divBdr>
        <w:top w:val="none" w:sz="0" w:space="0" w:color="auto"/>
        <w:left w:val="none" w:sz="0" w:space="0" w:color="auto"/>
        <w:bottom w:val="none" w:sz="0" w:space="0" w:color="auto"/>
        <w:right w:val="none" w:sz="0" w:space="0" w:color="auto"/>
      </w:divBdr>
    </w:div>
    <w:div w:id="798107270">
      <w:bodyDiv w:val="1"/>
      <w:marLeft w:val="0"/>
      <w:marRight w:val="0"/>
      <w:marTop w:val="0"/>
      <w:marBottom w:val="0"/>
      <w:divBdr>
        <w:top w:val="none" w:sz="0" w:space="0" w:color="auto"/>
        <w:left w:val="none" w:sz="0" w:space="0" w:color="auto"/>
        <w:bottom w:val="none" w:sz="0" w:space="0" w:color="auto"/>
        <w:right w:val="none" w:sz="0" w:space="0" w:color="auto"/>
      </w:divBdr>
    </w:div>
    <w:div w:id="890069470">
      <w:bodyDiv w:val="1"/>
      <w:marLeft w:val="0"/>
      <w:marRight w:val="0"/>
      <w:marTop w:val="0"/>
      <w:marBottom w:val="0"/>
      <w:divBdr>
        <w:top w:val="none" w:sz="0" w:space="0" w:color="auto"/>
        <w:left w:val="none" w:sz="0" w:space="0" w:color="auto"/>
        <w:bottom w:val="none" w:sz="0" w:space="0" w:color="auto"/>
        <w:right w:val="none" w:sz="0" w:space="0" w:color="auto"/>
      </w:divBdr>
    </w:div>
    <w:div w:id="1207524461">
      <w:bodyDiv w:val="1"/>
      <w:marLeft w:val="0"/>
      <w:marRight w:val="0"/>
      <w:marTop w:val="0"/>
      <w:marBottom w:val="0"/>
      <w:divBdr>
        <w:top w:val="none" w:sz="0" w:space="0" w:color="auto"/>
        <w:left w:val="none" w:sz="0" w:space="0" w:color="auto"/>
        <w:bottom w:val="none" w:sz="0" w:space="0" w:color="auto"/>
        <w:right w:val="none" w:sz="0" w:space="0" w:color="auto"/>
      </w:divBdr>
    </w:div>
    <w:div w:id="139061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2025-06-25T15:51:00Z</dcterms:created>
  <dcterms:modified xsi:type="dcterms:W3CDTF">2025-06-25T15:53:00Z</dcterms:modified>
</cp:coreProperties>
</file>