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04/20/2026</w:t>
              <w:br/>
              <w:br/>
              <w:t xml:space="preserve">Patient: Oliver S. Patel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Mr. David Osei, RBT  /  Ms. Keisha Brown,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☐ Frustrated</w:t>
              <w:br/>
              <w:t>☐ Angry   ☐ Cheerful / Happy   ☑ Grumpy</w:t>
              <w:br/>
              <w:t>☐ Annoyed   ☐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☐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☐ Jacket   </w:t>
            </w:r>
          </w:p>
          <w:p w14:paraId="222411E2" w14:textId="77777777" w:rsidR="002324A5" w:rsidRDefault="00B622FB" w:rsidP="00B622FB">
            <w:r>
              <w:t xml:space="preserve">☑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☐ Scratching</w:t>
              <w:br/>
              <w:t>☑ Pinching</w:t>
              <w:br/>
              <w:t>☐ Grabbing</w:t>
              <w:br/>
              <w:t>☐ Spitting</w:t>
              <w:br/>
              <w:t>☑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☑ Flopping</w:t>
              <w:br/>
              <w:t>☐ Screaming</w:t>
              <w:br/>
              <w:t>☐ Crying</w:t>
              <w:br/>
              <w:t>☐ Repeating</w:t>
              <w:br/>
              <w:t>☐ Licking</w:t>
              <w:br/>
              <w:t>☐ Echolalia</w:t>
              <w:br/>
              <w:t>☐ Teeth Grinding</w:t>
              <w:br/>
              <w:t>☑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☑ Tantruming</w:t>
              <w:br/>
              <w:t>☐ Elopting</w:t>
              <w:br/>
              <w:t>☐ Hand Flapping</w:t>
              <w:br/>
              <w:t>☐ Hand Jerks</w:t>
              <w:br/>
              <w:t>☑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☑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Oliver refused all food items initially. Accepted preferred crackers after a 15-minute motivating assessment. Ate approximately 40% of lunch. No biting incidents during the meal itself.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Manding appropriately (+2/5 — dysregulated). Requesting break (+3/5 — improved from last session). Following 1-step instructions (1/5).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Challenging session; two biting incidents in AM. De-escalation strategies applied successfully both times. Strength: complied with preferred transition to playground without elopement.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