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16095" w14:paraId="16466253" w14:textId="77777777">
        <w:tc>
          <w:tcPr>
            <w:tcW w:w="8630" w:type="dxa"/>
            <w:gridSpan w:val="4"/>
            <w:shd w:val="clear" w:color="auto" w:fill="ADADAD" w:themeFill="background2" w:themeFillShade="BF"/>
          </w:tcPr>
          <w:p w14:paraId="759FC2C5" w14:textId="3F8079E4" w:rsidR="008A4B99" w:rsidRDefault="00000000">
            <w:r>
              <w:t>Riverside Community Hospital — Family Medicine</w:t>
            </w:r>
          </w:p>
          <w:p w14:paraId="1ABB15F7" w14:textId="5184D7A0" w:rsidR="00516095" w:rsidRDefault="00000000">
            <w:r>
              <w:t>Patient: Thomas A. Brennan DOB: 07/22/1965 Visit: 03/10/2026</w:t>
            </w:r>
          </w:p>
        </w:tc>
      </w:tr>
      <w:tr w:rsidR="00516095" w14:paraId="3C35D271" w14:textId="77777777">
        <w:tc>
          <w:tcPr>
            <w:tcW w:w="2157" w:type="dxa"/>
            <w:shd w:val="clear" w:color="auto" w:fill="D1D1D1" w:themeFill="background2" w:themeFillShade="E6"/>
          </w:tcPr>
          <w:p w14:paraId="2536C978" w14:textId="77777777" w:rsidR="00516095" w:rsidRDefault="00000000">
            <w:r>
              <w:t>Meds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41DBC6BA" w14:textId="77777777" w:rsidR="00516095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2763A803" w14:textId="77777777" w:rsidR="00516095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353137C8" w14:textId="77777777" w:rsidR="00516095" w:rsidRDefault="00000000">
            <w:r>
              <w:t>Description</w:t>
            </w:r>
          </w:p>
        </w:tc>
      </w:tr>
      <w:tr w:rsidR="00516095" w14:paraId="220A214C" w14:textId="77777777">
        <w:tc>
          <w:tcPr>
            <w:tcW w:w="2157" w:type="dxa"/>
          </w:tcPr>
          <w:p w14:paraId="77D70A45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Lisinopril</w:t>
            </w:r>
          </w:p>
        </w:tc>
        <w:tc>
          <w:tcPr>
            <w:tcW w:w="2157" w:type="dxa"/>
          </w:tcPr>
          <w:p w14:paraId="0FB1F560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20 mg</w:t>
            </w:r>
          </w:p>
        </w:tc>
        <w:tc>
          <w:tcPr>
            <w:tcW w:w="2158" w:type="dxa"/>
          </w:tcPr>
          <w:p w14:paraId="391F248A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7AC9929A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ACE inhibitor; hypertension management</w:t>
            </w:r>
          </w:p>
        </w:tc>
      </w:tr>
      <w:tr w:rsidR="00516095" w14:paraId="5A1997A0" w14:textId="77777777">
        <w:tc>
          <w:tcPr>
            <w:tcW w:w="2157" w:type="dxa"/>
          </w:tcPr>
          <w:p w14:paraId="79AC241E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Metformin HCl</w:t>
            </w:r>
          </w:p>
        </w:tc>
        <w:tc>
          <w:tcPr>
            <w:tcW w:w="2157" w:type="dxa"/>
          </w:tcPr>
          <w:p w14:paraId="5BF285FD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1000 mg</w:t>
            </w:r>
          </w:p>
        </w:tc>
        <w:tc>
          <w:tcPr>
            <w:tcW w:w="2158" w:type="dxa"/>
          </w:tcPr>
          <w:p w14:paraId="020B14C1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Twice daily (with meals)</w:t>
            </w:r>
          </w:p>
        </w:tc>
        <w:tc>
          <w:tcPr>
            <w:tcW w:w="2158" w:type="dxa"/>
          </w:tcPr>
          <w:p w14:paraId="7E27DB6B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Type 2 diabetes glycemic control</w:t>
            </w:r>
          </w:p>
        </w:tc>
      </w:tr>
      <w:tr w:rsidR="00516095" w14:paraId="03226771" w14:textId="77777777">
        <w:tc>
          <w:tcPr>
            <w:tcW w:w="2157" w:type="dxa"/>
          </w:tcPr>
          <w:p w14:paraId="22DABA5B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Atorvastatin</w:t>
            </w:r>
          </w:p>
        </w:tc>
        <w:tc>
          <w:tcPr>
            <w:tcW w:w="2157" w:type="dxa"/>
          </w:tcPr>
          <w:p w14:paraId="3C2BF7BF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80 mg</w:t>
            </w:r>
          </w:p>
        </w:tc>
        <w:tc>
          <w:tcPr>
            <w:tcW w:w="2158" w:type="dxa"/>
          </w:tcPr>
          <w:p w14:paraId="7DCC272F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Once daily (PM)</w:t>
            </w:r>
          </w:p>
        </w:tc>
        <w:tc>
          <w:tcPr>
            <w:tcW w:w="2158" w:type="dxa"/>
          </w:tcPr>
          <w:p w14:paraId="1C083D3F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High-intensity statin; elevated LDL</w:t>
            </w:r>
          </w:p>
        </w:tc>
      </w:tr>
      <w:tr w:rsidR="00516095" w14:paraId="5097CFFA" w14:textId="77777777">
        <w:tc>
          <w:tcPr>
            <w:tcW w:w="2157" w:type="dxa"/>
          </w:tcPr>
          <w:p w14:paraId="59E70D73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Albuterol HFA</w:t>
            </w:r>
          </w:p>
        </w:tc>
        <w:tc>
          <w:tcPr>
            <w:tcW w:w="2157" w:type="dxa"/>
          </w:tcPr>
          <w:p w14:paraId="0FFBE5DA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90 mcg/puff</w:t>
            </w:r>
          </w:p>
        </w:tc>
        <w:tc>
          <w:tcPr>
            <w:tcW w:w="2158" w:type="dxa"/>
          </w:tcPr>
          <w:p w14:paraId="4DAD83FB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Every 4–6 hrs as needed</w:t>
            </w:r>
          </w:p>
        </w:tc>
        <w:tc>
          <w:tcPr>
            <w:tcW w:w="2158" w:type="dxa"/>
          </w:tcPr>
          <w:p w14:paraId="14AD1F56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Short-acting bronchodilator; asthma</w:t>
            </w:r>
          </w:p>
        </w:tc>
      </w:tr>
      <w:tr w:rsidR="00516095" w14:paraId="5B3C148D" w14:textId="77777777">
        <w:tc>
          <w:tcPr>
            <w:tcW w:w="2157" w:type="dxa"/>
          </w:tcPr>
          <w:p w14:paraId="6B128A53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Montelukast</w:t>
            </w:r>
          </w:p>
        </w:tc>
        <w:tc>
          <w:tcPr>
            <w:tcW w:w="2157" w:type="dxa"/>
          </w:tcPr>
          <w:p w14:paraId="4151908E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10 mg</w:t>
            </w:r>
          </w:p>
        </w:tc>
        <w:tc>
          <w:tcPr>
            <w:tcW w:w="2158" w:type="dxa"/>
          </w:tcPr>
          <w:p w14:paraId="712381E8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Once daily (PM)</w:t>
            </w:r>
          </w:p>
        </w:tc>
        <w:tc>
          <w:tcPr>
            <w:tcW w:w="2158" w:type="dxa"/>
          </w:tcPr>
          <w:p w14:paraId="7A3B97D1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Leukotriene antagonist; allergic asthma</w:t>
            </w:r>
          </w:p>
        </w:tc>
      </w:tr>
      <w:tr w:rsidR="00516095" w14:paraId="5641F67B" w14:textId="77777777">
        <w:tc>
          <w:tcPr>
            <w:tcW w:w="2157" w:type="dxa"/>
          </w:tcPr>
          <w:p w14:paraId="2AED4728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Omeprazole</w:t>
            </w:r>
          </w:p>
        </w:tc>
        <w:tc>
          <w:tcPr>
            <w:tcW w:w="2157" w:type="dxa"/>
          </w:tcPr>
          <w:p w14:paraId="6BCF8C84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40 mg</w:t>
            </w:r>
          </w:p>
        </w:tc>
        <w:tc>
          <w:tcPr>
            <w:tcW w:w="2158" w:type="dxa"/>
          </w:tcPr>
          <w:p w14:paraId="144E8CA2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Once daily (before AM meal)</w:t>
            </w:r>
          </w:p>
        </w:tc>
        <w:tc>
          <w:tcPr>
            <w:tcW w:w="2158" w:type="dxa"/>
          </w:tcPr>
          <w:p w14:paraId="2475CCE3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PPI; GERD and gastric ulcer prevention</w:t>
            </w:r>
          </w:p>
        </w:tc>
      </w:tr>
      <w:tr w:rsidR="00516095" w14:paraId="2EE6A2FD" w14:textId="77777777">
        <w:tc>
          <w:tcPr>
            <w:tcW w:w="2157" w:type="dxa"/>
          </w:tcPr>
          <w:p w14:paraId="3B99BA9B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Sertraline</w:t>
            </w:r>
          </w:p>
        </w:tc>
        <w:tc>
          <w:tcPr>
            <w:tcW w:w="2157" w:type="dxa"/>
          </w:tcPr>
          <w:p w14:paraId="139891B2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100 mg</w:t>
            </w:r>
          </w:p>
        </w:tc>
        <w:tc>
          <w:tcPr>
            <w:tcW w:w="2158" w:type="dxa"/>
          </w:tcPr>
          <w:p w14:paraId="5F1A14C8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069C2290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SSRI; major depressive disorder</w:t>
            </w:r>
          </w:p>
        </w:tc>
      </w:tr>
    </w:tbl>
    <w:p w14:paraId="610791FC" w14:textId="77777777" w:rsidR="00516095" w:rsidRDefault="005160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16095" w14:paraId="5B0DD750" w14:textId="77777777">
        <w:tc>
          <w:tcPr>
            <w:tcW w:w="2157" w:type="dxa"/>
            <w:shd w:val="clear" w:color="auto" w:fill="D1D1D1" w:themeFill="background2" w:themeFillShade="E6"/>
          </w:tcPr>
          <w:p w14:paraId="7A7854B9" w14:textId="77777777" w:rsidR="00516095" w:rsidRDefault="00000000">
            <w:r>
              <w:t>Daily Vitamins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755737C9" w14:textId="77777777" w:rsidR="00516095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2E042084" w14:textId="77777777" w:rsidR="00516095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6F604396" w14:textId="77777777" w:rsidR="00516095" w:rsidRDefault="00000000">
            <w:r>
              <w:t>Description</w:t>
            </w:r>
          </w:p>
        </w:tc>
      </w:tr>
      <w:tr w:rsidR="00516095" w14:paraId="4B591784" w14:textId="77777777">
        <w:tc>
          <w:tcPr>
            <w:tcW w:w="2157" w:type="dxa"/>
          </w:tcPr>
          <w:p w14:paraId="3D0A01C9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Vitamin B12</w:t>
            </w:r>
          </w:p>
        </w:tc>
        <w:tc>
          <w:tcPr>
            <w:tcW w:w="2157" w:type="dxa"/>
          </w:tcPr>
          <w:p w14:paraId="43F3612C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1,000 mcg</w:t>
            </w:r>
          </w:p>
        </w:tc>
        <w:tc>
          <w:tcPr>
            <w:tcW w:w="2158" w:type="dxa"/>
          </w:tcPr>
          <w:p w14:paraId="6AE3B710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Once daily</w:t>
            </w:r>
          </w:p>
        </w:tc>
        <w:tc>
          <w:tcPr>
            <w:tcW w:w="2158" w:type="dxa"/>
          </w:tcPr>
          <w:p w14:paraId="3CF2D819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Neurological support; metformin-related depletion</w:t>
            </w:r>
          </w:p>
        </w:tc>
      </w:tr>
      <w:tr w:rsidR="00516095" w14:paraId="56CCEF41" w14:textId="77777777">
        <w:tc>
          <w:tcPr>
            <w:tcW w:w="2157" w:type="dxa"/>
          </w:tcPr>
          <w:p w14:paraId="33E7F407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Vitamin D3</w:t>
            </w:r>
          </w:p>
        </w:tc>
        <w:tc>
          <w:tcPr>
            <w:tcW w:w="2157" w:type="dxa"/>
          </w:tcPr>
          <w:p w14:paraId="6489788C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2,000 IU</w:t>
            </w:r>
          </w:p>
        </w:tc>
        <w:tc>
          <w:tcPr>
            <w:tcW w:w="2158" w:type="dxa"/>
          </w:tcPr>
          <w:p w14:paraId="08E2820F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74A41BD7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Bone density; immune modulation</w:t>
            </w:r>
          </w:p>
        </w:tc>
      </w:tr>
      <w:tr w:rsidR="00516095" w14:paraId="164386EA" w14:textId="77777777">
        <w:tc>
          <w:tcPr>
            <w:tcW w:w="2157" w:type="dxa"/>
          </w:tcPr>
          <w:p w14:paraId="0F037D0A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Magnesium Citrate</w:t>
            </w:r>
          </w:p>
        </w:tc>
        <w:tc>
          <w:tcPr>
            <w:tcW w:w="2157" w:type="dxa"/>
          </w:tcPr>
          <w:p w14:paraId="13E095BE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300 mg</w:t>
            </w:r>
          </w:p>
        </w:tc>
        <w:tc>
          <w:tcPr>
            <w:tcW w:w="2158" w:type="dxa"/>
          </w:tcPr>
          <w:p w14:paraId="29DD5AD7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Once daily (bedtime)</w:t>
            </w:r>
          </w:p>
        </w:tc>
        <w:tc>
          <w:tcPr>
            <w:tcW w:w="2158" w:type="dxa"/>
          </w:tcPr>
          <w:p w14:paraId="2BF2A227" w14:textId="77777777" w:rsidR="00516095" w:rsidRPr="008A4B99" w:rsidRDefault="00000000">
            <w:pPr>
              <w:rPr>
                <w:sz w:val="20"/>
                <w:szCs w:val="20"/>
              </w:rPr>
            </w:pPr>
            <w:r w:rsidRPr="008A4B99">
              <w:rPr>
                <w:sz w:val="20"/>
                <w:szCs w:val="20"/>
              </w:rPr>
              <w:t>Muscle cramping; sleep quality support</w:t>
            </w:r>
          </w:p>
        </w:tc>
      </w:tr>
    </w:tbl>
    <w:p w14:paraId="379B8332" w14:textId="77777777" w:rsidR="00516095" w:rsidRDefault="00516095"/>
    <w:sectPr w:rsidR="0051609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2F5DF5"/>
    <w:rsid w:val="0043287C"/>
    <w:rsid w:val="00516095"/>
    <w:rsid w:val="008369DE"/>
    <w:rsid w:val="008A4B99"/>
    <w:rsid w:val="009C5B55"/>
    <w:rsid w:val="00A3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4539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2026-03-26T16:27:00Z</dcterms:created>
  <dcterms:modified xsi:type="dcterms:W3CDTF">2026-04-30T13:32:00Z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