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40FC9" w14:paraId="098086A1" w14:textId="77777777">
        <w:tc>
          <w:tcPr>
            <w:tcW w:w="8630" w:type="dxa"/>
            <w:gridSpan w:val="4"/>
            <w:shd w:val="clear" w:color="auto" w:fill="ADADAD" w:themeFill="background2" w:themeFillShade="BF"/>
          </w:tcPr>
          <w:p w14:paraId="7E33A995" w14:textId="77777777" w:rsidR="00EA4F2B" w:rsidRDefault="00000000">
            <w:r>
              <w:t xml:space="preserve">Blue Ridge Medical Center — Endocrinology </w:t>
            </w:r>
          </w:p>
          <w:p w14:paraId="04D20E70" w14:textId="0B76C299" w:rsidR="00540FC9" w:rsidRDefault="00000000">
            <w:r>
              <w:t>Patient: Elena V. Sorensen DOB: 11/03/1972 Visit: 02/27/2026</w:t>
            </w:r>
          </w:p>
        </w:tc>
      </w:tr>
      <w:tr w:rsidR="00540FC9" w14:paraId="09C1DE60" w14:textId="77777777">
        <w:tc>
          <w:tcPr>
            <w:tcW w:w="2157" w:type="dxa"/>
            <w:shd w:val="clear" w:color="auto" w:fill="D1D1D1" w:themeFill="background2" w:themeFillShade="E6"/>
          </w:tcPr>
          <w:p w14:paraId="22B97AD9" w14:textId="77777777" w:rsidR="00540FC9" w:rsidRDefault="00000000">
            <w:r>
              <w:t>Meds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40AA9EB0" w14:textId="77777777" w:rsidR="00540FC9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6C96A731" w14:textId="77777777" w:rsidR="00540FC9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6A98FA29" w14:textId="77777777" w:rsidR="00540FC9" w:rsidRDefault="00000000">
            <w:r>
              <w:t>Description</w:t>
            </w:r>
          </w:p>
        </w:tc>
      </w:tr>
      <w:tr w:rsidR="00540FC9" w14:paraId="3DD63DEA" w14:textId="77777777">
        <w:tc>
          <w:tcPr>
            <w:tcW w:w="2157" w:type="dxa"/>
          </w:tcPr>
          <w:p w14:paraId="6D7CB66E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Insulin Glargine</w:t>
            </w:r>
          </w:p>
        </w:tc>
        <w:tc>
          <w:tcPr>
            <w:tcW w:w="2157" w:type="dxa"/>
          </w:tcPr>
          <w:p w14:paraId="646F8495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20 units</w:t>
            </w:r>
          </w:p>
        </w:tc>
        <w:tc>
          <w:tcPr>
            <w:tcW w:w="2158" w:type="dxa"/>
          </w:tcPr>
          <w:p w14:paraId="253E3441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(bedtime)</w:t>
            </w:r>
          </w:p>
        </w:tc>
        <w:tc>
          <w:tcPr>
            <w:tcW w:w="2158" w:type="dxa"/>
          </w:tcPr>
          <w:p w14:paraId="5E675935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Long-acting basal insulin; Type 1 DM</w:t>
            </w:r>
          </w:p>
        </w:tc>
      </w:tr>
      <w:tr w:rsidR="00540FC9" w14:paraId="53754FFC" w14:textId="77777777">
        <w:tc>
          <w:tcPr>
            <w:tcW w:w="2157" w:type="dxa"/>
          </w:tcPr>
          <w:p w14:paraId="5F1216EB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Insulin Lispro</w:t>
            </w:r>
          </w:p>
        </w:tc>
        <w:tc>
          <w:tcPr>
            <w:tcW w:w="2157" w:type="dxa"/>
          </w:tcPr>
          <w:p w14:paraId="54061833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Per sliding scale</w:t>
            </w:r>
          </w:p>
        </w:tc>
        <w:tc>
          <w:tcPr>
            <w:tcW w:w="2158" w:type="dxa"/>
          </w:tcPr>
          <w:p w14:paraId="08DB4CC6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Before each meal</w:t>
            </w:r>
          </w:p>
        </w:tc>
        <w:tc>
          <w:tcPr>
            <w:tcW w:w="2158" w:type="dxa"/>
          </w:tcPr>
          <w:p w14:paraId="601CFF26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Rapid-acting bolus insulin</w:t>
            </w:r>
          </w:p>
        </w:tc>
      </w:tr>
      <w:tr w:rsidR="00540FC9" w14:paraId="22019D20" w14:textId="77777777">
        <w:tc>
          <w:tcPr>
            <w:tcW w:w="2157" w:type="dxa"/>
          </w:tcPr>
          <w:p w14:paraId="568A6810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Levothyroxine</w:t>
            </w:r>
          </w:p>
        </w:tc>
        <w:tc>
          <w:tcPr>
            <w:tcW w:w="2157" w:type="dxa"/>
          </w:tcPr>
          <w:p w14:paraId="16C70EC6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88 mcg</w:t>
            </w:r>
          </w:p>
        </w:tc>
        <w:tc>
          <w:tcPr>
            <w:tcW w:w="2158" w:type="dxa"/>
          </w:tcPr>
          <w:p w14:paraId="6D8E770D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(fasting)</w:t>
            </w:r>
          </w:p>
        </w:tc>
        <w:tc>
          <w:tcPr>
            <w:tcW w:w="2158" w:type="dxa"/>
          </w:tcPr>
          <w:p w14:paraId="0D7A259D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Thyroid hormone replacement; hypothyroidism</w:t>
            </w:r>
          </w:p>
        </w:tc>
      </w:tr>
      <w:tr w:rsidR="00540FC9" w14:paraId="1C33C33F" w14:textId="77777777">
        <w:tc>
          <w:tcPr>
            <w:tcW w:w="2157" w:type="dxa"/>
          </w:tcPr>
          <w:p w14:paraId="32F5AB18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Metoprolol Succ.</w:t>
            </w:r>
          </w:p>
        </w:tc>
        <w:tc>
          <w:tcPr>
            <w:tcW w:w="2157" w:type="dxa"/>
          </w:tcPr>
          <w:p w14:paraId="15B182BA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50 mg</w:t>
            </w:r>
          </w:p>
        </w:tc>
        <w:tc>
          <w:tcPr>
            <w:tcW w:w="2158" w:type="dxa"/>
          </w:tcPr>
          <w:p w14:paraId="55F0C63A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10F182CE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Beta-1 blocker; palpitations / tachycardia</w:t>
            </w:r>
          </w:p>
        </w:tc>
      </w:tr>
      <w:tr w:rsidR="00540FC9" w14:paraId="79653B89" w14:textId="77777777">
        <w:tc>
          <w:tcPr>
            <w:tcW w:w="2157" w:type="dxa"/>
          </w:tcPr>
          <w:p w14:paraId="08D61A63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Escitalopram</w:t>
            </w:r>
          </w:p>
        </w:tc>
        <w:tc>
          <w:tcPr>
            <w:tcW w:w="2157" w:type="dxa"/>
          </w:tcPr>
          <w:p w14:paraId="18BEFAEB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10 mg</w:t>
            </w:r>
          </w:p>
        </w:tc>
        <w:tc>
          <w:tcPr>
            <w:tcW w:w="2158" w:type="dxa"/>
          </w:tcPr>
          <w:p w14:paraId="71ACD0A0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(AM)</w:t>
            </w:r>
          </w:p>
        </w:tc>
        <w:tc>
          <w:tcPr>
            <w:tcW w:w="2158" w:type="dxa"/>
          </w:tcPr>
          <w:p w14:paraId="0DCC805E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SSRI; generalized anxiety disorder</w:t>
            </w:r>
          </w:p>
        </w:tc>
      </w:tr>
      <w:tr w:rsidR="00540FC9" w14:paraId="28722A7E" w14:textId="77777777">
        <w:tc>
          <w:tcPr>
            <w:tcW w:w="2157" w:type="dxa"/>
          </w:tcPr>
          <w:p w14:paraId="3BA9E91C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Naproxen</w:t>
            </w:r>
          </w:p>
        </w:tc>
        <w:tc>
          <w:tcPr>
            <w:tcW w:w="2157" w:type="dxa"/>
          </w:tcPr>
          <w:p w14:paraId="0060B835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500 mg</w:t>
            </w:r>
          </w:p>
        </w:tc>
        <w:tc>
          <w:tcPr>
            <w:tcW w:w="2158" w:type="dxa"/>
          </w:tcPr>
          <w:p w14:paraId="19878559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Twice daily (with food)</w:t>
            </w:r>
          </w:p>
        </w:tc>
        <w:tc>
          <w:tcPr>
            <w:tcW w:w="2158" w:type="dxa"/>
          </w:tcPr>
          <w:p w14:paraId="7F1374BB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NSAID; musculoskeletal pain; PRN</w:t>
            </w:r>
          </w:p>
        </w:tc>
      </w:tr>
      <w:tr w:rsidR="00540FC9" w14:paraId="0CF7766D" w14:textId="77777777">
        <w:tc>
          <w:tcPr>
            <w:tcW w:w="2157" w:type="dxa"/>
          </w:tcPr>
          <w:p w14:paraId="3ED4F9DE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Cetirizine</w:t>
            </w:r>
          </w:p>
        </w:tc>
        <w:tc>
          <w:tcPr>
            <w:tcW w:w="2157" w:type="dxa"/>
          </w:tcPr>
          <w:p w14:paraId="0B82882D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10 mg</w:t>
            </w:r>
          </w:p>
        </w:tc>
        <w:tc>
          <w:tcPr>
            <w:tcW w:w="2158" w:type="dxa"/>
          </w:tcPr>
          <w:p w14:paraId="29AEE79D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35F82D87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Second-gen antihistamine; seasonal allergies</w:t>
            </w:r>
          </w:p>
        </w:tc>
      </w:tr>
      <w:tr w:rsidR="00540FC9" w14:paraId="62447290" w14:textId="77777777">
        <w:tc>
          <w:tcPr>
            <w:tcW w:w="2157" w:type="dxa"/>
          </w:tcPr>
          <w:p w14:paraId="0C86FA09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Topiramate</w:t>
            </w:r>
          </w:p>
        </w:tc>
        <w:tc>
          <w:tcPr>
            <w:tcW w:w="2157" w:type="dxa"/>
          </w:tcPr>
          <w:p w14:paraId="3132D4DB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25 mg</w:t>
            </w:r>
          </w:p>
        </w:tc>
        <w:tc>
          <w:tcPr>
            <w:tcW w:w="2158" w:type="dxa"/>
          </w:tcPr>
          <w:p w14:paraId="061CA822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(PM)</w:t>
            </w:r>
          </w:p>
        </w:tc>
        <w:tc>
          <w:tcPr>
            <w:tcW w:w="2158" w:type="dxa"/>
          </w:tcPr>
          <w:p w14:paraId="146ADA46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Migraine prophylaxis</w:t>
            </w:r>
          </w:p>
        </w:tc>
      </w:tr>
    </w:tbl>
    <w:p w14:paraId="76EBF4EC" w14:textId="77777777" w:rsidR="00540FC9" w:rsidRDefault="00540F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540FC9" w14:paraId="19EEB197" w14:textId="77777777">
        <w:tc>
          <w:tcPr>
            <w:tcW w:w="2157" w:type="dxa"/>
            <w:shd w:val="clear" w:color="auto" w:fill="D1D1D1" w:themeFill="background2" w:themeFillShade="E6"/>
          </w:tcPr>
          <w:p w14:paraId="551FF02D" w14:textId="77777777" w:rsidR="00540FC9" w:rsidRDefault="00000000">
            <w:r>
              <w:t>Daily Vitamins</w:t>
            </w:r>
          </w:p>
        </w:tc>
        <w:tc>
          <w:tcPr>
            <w:tcW w:w="2157" w:type="dxa"/>
            <w:shd w:val="clear" w:color="auto" w:fill="D1D1D1" w:themeFill="background2" w:themeFillShade="E6"/>
          </w:tcPr>
          <w:p w14:paraId="454DE4A9" w14:textId="77777777" w:rsidR="00540FC9" w:rsidRDefault="00000000">
            <w:r>
              <w:t>Dosage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5849F9F7" w14:textId="77777777" w:rsidR="00540FC9" w:rsidRDefault="00000000">
            <w:r>
              <w:t>How often</w:t>
            </w:r>
          </w:p>
        </w:tc>
        <w:tc>
          <w:tcPr>
            <w:tcW w:w="2158" w:type="dxa"/>
            <w:shd w:val="clear" w:color="auto" w:fill="D1D1D1" w:themeFill="background2" w:themeFillShade="E6"/>
          </w:tcPr>
          <w:p w14:paraId="29075904" w14:textId="77777777" w:rsidR="00540FC9" w:rsidRDefault="00000000">
            <w:r>
              <w:t>Description</w:t>
            </w:r>
          </w:p>
        </w:tc>
      </w:tr>
      <w:tr w:rsidR="00540FC9" w14:paraId="14001992" w14:textId="77777777">
        <w:tc>
          <w:tcPr>
            <w:tcW w:w="2157" w:type="dxa"/>
          </w:tcPr>
          <w:p w14:paraId="751FBE1A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Folate</w:t>
            </w:r>
          </w:p>
        </w:tc>
        <w:tc>
          <w:tcPr>
            <w:tcW w:w="2157" w:type="dxa"/>
          </w:tcPr>
          <w:p w14:paraId="5DCCD9E3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800 mcg</w:t>
            </w:r>
          </w:p>
        </w:tc>
        <w:tc>
          <w:tcPr>
            <w:tcW w:w="2158" w:type="dxa"/>
          </w:tcPr>
          <w:p w14:paraId="16CFCFC8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</w:t>
            </w:r>
          </w:p>
        </w:tc>
        <w:tc>
          <w:tcPr>
            <w:tcW w:w="2158" w:type="dxa"/>
          </w:tcPr>
          <w:p w14:paraId="3D62D7DD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Cellular repair and DNA synthesis</w:t>
            </w:r>
          </w:p>
        </w:tc>
      </w:tr>
      <w:tr w:rsidR="00540FC9" w14:paraId="6193A395" w14:textId="77777777">
        <w:tc>
          <w:tcPr>
            <w:tcW w:w="2157" w:type="dxa"/>
          </w:tcPr>
          <w:p w14:paraId="62E1B92C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Vitamin D3</w:t>
            </w:r>
          </w:p>
        </w:tc>
        <w:tc>
          <w:tcPr>
            <w:tcW w:w="2157" w:type="dxa"/>
          </w:tcPr>
          <w:p w14:paraId="0889C399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4,000 IU</w:t>
            </w:r>
          </w:p>
        </w:tc>
        <w:tc>
          <w:tcPr>
            <w:tcW w:w="2158" w:type="dxa"/>
          </w:tcPr>
          <w:p w14:paraId="28218CAA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(with fat meal)</w:t>
            </w:r>
          </w:p>
        </w:tc>
        <w:tc>
          <w:tcPr>
            <w:tcW w:w="2158" w:type="dxa"/>
          </w:tcPr>
          <w:p w14:paraId="2A1E258F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Deficiency correction; endocrine support</w:t>
            </w:r>
          </w:p>
        </w:tc>
      </w:tr>
      <w:tr w:rsidR="00540FC9" w14:paraId="65A21D24" w14:textId="77777777">
        <w:tc>
          <w:tcPr>
            <w:tcW w:w="2157" w:type="dxa"/>
          </w:tcPr>
          <w:p w14:paraId="77F773A7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Omega-3 Fish Oil</w:t>
            </w:r>
          </w:p>
        </w:tc>
        <w:tc>
          <w:tcPr>
            <w:tcW w:w="2157" w:type="dxa"/>
          </w:tcPr>
          <w:p w14:paraId="6B1CB66A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2,000 mg</w:t>
            </w:r>
          </w:p>
        </w:tc>
        <w:tc>
          <w:tcPr>
            <w:tcW w:w="2158" w:type="dxa"/>
          </w:tcPr>
          <w:p w14:paraId="478EFE50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Once daily (with meal)</w:t>
            </w:r>
          </w:p>
        </w:tc>
        <w:tc>
          <w:tcPr>
            <w:tcW w:w="2158" w:type="dxa"/>
          </w:tcPr>
          <w:p w14:paraId="53BF1C00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Triglyceride reduction; inflammation</w:t>
            </w:r>
          </w:p>
        </w:tc>
      </w:tr>
      <w:tr w:rsidR="00540FC9" w14:paraId="740288F3" w14:textId="77777777">
        <w:tc>
          <w:tcPr>
            <w:tcW w:w="2157" w:type="dxa"/>
          </w:tcPr>
          <w:p w14:paraId="1744D28F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Iron (Ferrous Sulf.)</w:t>
            </w:r>
          </w:p>
        </w:tc>
        <w:tc>
          <w:tcPr>
            <w:tcW w:w="2157" w:type="dxa"/>
          </w:tcPr>
          <w:p w14:paraId="464E81AE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325 mg</w:t>
            </w:r>
          </w:p>
        </w:tc>
        <w:tc>
          <w:tcPr>
            <w:tcW w:w="2158" w:type="dxa"/>
          </w:tcPr>
          <w:p w14:paraId="4CD1BFDC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Every other day (AM)</w:t>
            </w:r>
          </w:p>
        </w:tc>
        <w:tc>
          <w:tcPr>
            <w:tcW w:w="2158" w:type="dxa"/>
          </w:tcPr>
          <w:p w14:paraId="25BA37FC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Iron-deficiency anemia management</w:t>
            </w:r>
          </w:p>
        </w:tc>
      </w:tr>
      <w:tr w:rsidR="00540FC9" w14:paraId="1FABE5EF" w14:textId="77777777">
        <w:tc>
          <w:tcPr>
            <w:tcW w:w="2157" w:type="dxa"/>
          </w:tcPr>
          <w:p w14:paraId="204CBA48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Calcium Carbonate</w:t>
            </w:r>
          </w:p>
        </w:tc>
        <w:tc>
          <w:tcPr>
            <w:tcW w:w="2157" w:type="dxa"/>
          </w:tcPr>
          <w:p w14:paraId="3A931421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500 mg</w:t>
            </w:r>
          </w:p>
        </w:tc>
        <w:tc>
          <w:tcPr>
            <w:tcW w:w="2158" w:type="dxa"/>
          </w:tcPr>
          <w:p w14:paraId="377803C4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Twice daily (with meal)</w:t>
            </w:r>
          </w:p>
        </w:tc>
        <w:tc>
          <w:tcPr>
            <w:tcW w:w="2158" w:type="dxa"/>
          </w:tcPr>
          <w:p w14:paraId="12353E83" w14:textId="77777777" w:rsidR="00540FC9" w:rsidRPr="00EA4F2B" w:rsidRDefault="00000000">
            <w:pPr>
              <w:rPr>
                <w:sz w:val="20"/>
                <w:szCs w:val="20"/>
              </w:rPr>
            </w:pPr>
            <w:r w:rsidRPr="00EA4F2B">
              <w:rPr>
                <w:sz w:val="20"/>
                <w:szCs w:val="20"/>
              </w:rPr>
              <w:t>Bone mineral density; osteopenia support</w:t>
            </w:r>
          </w:p>
        </w:tc>
      </w:tr>
    </w:tbl>
    <w:p w14:paraId="20A0BA19" w14:textId="77777777" w:rsidR="00540FC9" w:rsidRDefault="00540FC9"/>
    <w:sectPr w:rsidR="00540FC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F5"/>
    <w:rsid w:val="002F5DF5"/>
    <w:rsid w:val="00540FC9"/>
    <w:rsid w:val="008369DE"/>
    <w:rsid w:val="009C5B55"/>
    <w:rsid w:val="00A338B8"/>
    <w:rsid w:val="00CC0A2E"/>
    <w:rsid w:val="00EA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252E"/>
  <w15:chartTrackingRefBased/>
  <w15:docId w15:val="{BFD38B58-65DF-4009-8D3F-34BDE107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2026-03-26T16:27:00Z</dcterms:created>
  <dcterms:modified xsi:type="dcterms:W3CDTF">2026-04-30T13:32:00Z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c8a76e74-9675-4a65-b0a5-e6e8d570a830</vt:lpwstr>
  </property>
</Properties>
</file>