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D730A" w14:paraId="39DDFFF0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3CA5B951" w14:textId="77777777" w:rsidR="00083DE1" w:rsidRDefault="00000000">
            <w:r>
              <w:t xml:space="preserve">Pinecrest Pediatric Center — Pediatrics </w:t>
            </w:r>
          </w:p>
          <w:p w14:paraId="7095B217" w14:textId="34975884" w:rsidR="003D730A" w:rsidRDefault="00000000">
            <w:r>
              <w:t>Patient: Lucas M. Fontaine DOB: 06/30/2015 Visit: 03/25/2026</w:t>
            </w:r>
          </w:p>
        </w:tc>
      </w:tr>
      <w:tr w:rsidR="003D730A" w14:paraId="43306A80" w14:textId="77777777">
        <w:tc>
          <w:tcPr>
            <w:tcW w:w="2157" w:type="dxa"/>
            <w:shd w:val="clear" w:color="auto" w:fill="D1D1D1" w:themeFill="background2" w:themeFillShade="E6"/>
          </w:tcPr>
          <w:p w14:paraId="14B05D1A" w14:textId="77777777" w:rsidR="003D730A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4CF069CA" w14:textId="77777777" w:rsidR="003D730A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3E173ED4" w14:textId="77777777" w:rsidR="003D730A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1CD219B1" w14:textId="77777777" w:rsidR="003D730A" w:rsidRDefault="00000000">
            <w:r>
              <w:t>Description</w:t>
            </w:r>
          </w:p>
        </w:tc>
      </w:tr>
      <w:tr w:rsidR="003D730A" w14:paraId="40FDBA9E" w14:textId="77777777">
        <w:tc>
          <w:tcPr>
            <w:tcW w:w="2157" w:type="dxa"/>
          </w:tcPr>
          <w:p w14:paraId="33728A1E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Methylphenidate ER</w:t>
            </w:r>
          </w:p>
        </w:tc>
        <w:tc>
          <w:tcPr>
            <w:tcW w:w="2157" w:type="dxa"/>
          </w:tcPr>
          <w:p w14:paraId="4C295DAA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18 mg</w:t>
            </w:r>
          </w:p>
        </w:tc>
        <w:tc>
          <w:tcPr>
            <w:tcW w:w="2158" w:type="dxa"/>
          </w:tcPr>
          <w:p w14:paraId="69FB2882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634DF6B0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CNS stimulant; ADHD management</w:t>
            </w:r>
          </w:p>
        </w:tc>
      </w:tr>
      <w:tr w:rsidR="003D730A" w14:paraId="759923BA" w14:textId="77777777">
        <w:tc>
          <w:tcPr>
            <w:tcW w:w="2157" w:type="dxa"/>
          </w:tcPr>
          <w:p w14:paraId="60ED22D4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Fluticasone Nasal</w:t>
            </w:r>
          </w:p>
        </w:tc>
        <w:tc>
          <w:tcPr>
            <w:tcW w:w="2157" w:type="dxa"/>
          </w:tcPr>
          <w:p w14:paraId="045DFA48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50 mcg/spray</w:t>
            </w:r>
          </w:p>
        </w:tc>
        <w:tc>
          <w:tcPr>
            <w:tcW w:w="2158" w:type="dxa"/>
          </w:tcPr>
          <w:p w14:paraId="245758C6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2 sprays each nostril daily</w:t>
            </w:r>
          </w:p>
        </w:tc>
        <w:tc>
          <w:tcPr>
            <w:tcW w:w="2158" w:type="dxa"/>
          </w:tcPr>
          <w:p w14:paraId="45F57BBF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Intranasal corticosteroid; allergic rhinitis</w:t>
            </w:r>
          </w:p>
        </w:tc>
      </w:tr>
      <w:tr w:rsidR="003D730A" w14:paraId="55BDBCB8" w14:textId="77777777">
        <w:tc>
          <w:tcPr>
            <w:tcW w:w="2157" w:type="dxa"/>
          </w:tcPr>
          <w:p w14:paraId="0EFC9281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Montelukast</w:t>
            </w:r>
          </w:p>
        </w:tc>
        <w:tc>
          <w:tcPr>
            <w:tcW w:w="2157" w:type="dxa"/>
          </w:tcPr>
          <w:p w14:paraId="0A8D2320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5 mg</w:t>
            </w:r>
          </w:p>
        </w:tc>
        <w:tc>
          <w:tcPr>
            <w:tcW w:w="2158" w:type="dxa"/>
          </w:tcPr>
          <w:p w14:paraId="6389484E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24A7D5B1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Leukotriene antagonist; asthma / allergy</w:t>
            </w:r>
          </w:p>
        </w:tc>
      </w:tr>
      <w:tr w:rsidR="003D730A" w14:paraId="2F519BA3" w14:textId="77777777">
        <w:tc>
          <w:tcPr>
            <w:tcW w:w="2157" w:type="dxa"/>
          </w:tcPr>
          <w:p w14:paraId="6AFDBB61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Albuterol HFA</w:t>
            </w:r>
          </w:p>
        </w:tc>
        <w:tc>
          <w:tcPr>
            <w:tcW w:w="2157" w:type="dxa"/>
          </w:tcPr>
          <w:p w14:paraId="230A5E98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90 mcg/puff</w:t>
            </w:r>
          </w:p>
        </w:tc>
        <w:tc>
          <w:tcPr>
            <w:tcW w:w="2158" w:type="dxa"/>
          </w:tcPr>
          <w:p w14:paraId="5FDBA57D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Every 4–6 hrs as needed</w:t>
            </w:r>
          </w:p>
        </w:tc>
        <w:tc>
          <w:tcPr>
            <w:tcW w:w="2158" w:type="dxa"/>
          </w:tcPr>
          <w:p w14:paraId="08689610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Rescue bronchodilator; exercise-induced wheeze</w:t>
            </w:r>
          </w:p>
        </w:tc>
      </w:tr>
    </w:tbl>
    <w:p w14:paraId="68CC7C0D" w14:textId="77777777" w:rsidR="003D730A" w:rsidRDefault="003D73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D730A" w14:paraId="09DC776F" w14:textId="77777777">
        <w:tc>
          <w:tcPr>
            <w:tcW w:w="2157" w:type="dxa"/>
            <w:shd w:val="clear" w:color="auto" w:fill="D1D1D1" w:themeFill="background2" w:themeFillShade="E6"/>
          </w:tcPr>
          <w:p w14:paraId="07BFF5A3" w14:textId="77777777" w:rsidR="003D730A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6A3F2BCE" w14:textId="77777777" w:rsidR="003D730A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14806384" w14:textId="77777777" w:rsidR="003D730A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1C768517" w14:textId="77777777" w:rsidR="003D730A" w:rsidRDefault="00000000">
            <w:r>
              <w:t>Description</w:t>
            </w:r>
          </w:p>
        </w:tc>
      </w:tr>
      <w:tr w:rsidR="003D730A" w14:paraId="02B27B74" w14:textId="77777777">
        <w:tc>
          <w:tcPr>
            <w:tcW w:w="2157" w:type="dxa"/>
          </w:tcPr>
          <w:p w14:paraId="69DE9A04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Children's Multivitamin</w:t>
            </w:r>
          </w:p>
        </w:tc>
        <w:tc>
          <w:tcPr>
            <w:tcW w:w="2157" w:type="dxa"/>
          </w:tcPr>
          <w:p w14:paraId="1BC76A3D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1 gummy</w:t>
            </w:r>
          </w:p>
        </w:tc>
        <w:tc>
          <w:tcPr>
            <w:tcW w:w="2158" w:type="dxa"/>
          </w:tcPr>
          <w:p w14:paraId="4C437762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5347C08B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Broad micronutrient support; growth</w:t>
            </w:r>
          </w:p>
        </w:tc>
      </w:tr>
      <w:tr w:rsidR="003D730A" w14:paraId="765FFBAE" w14:textId="77777777">
        <w:tc>
          <w:tcPr>
            <w:tcW w:w="2157" w:type="dxa"/>
          </w:tcPr>
          <w:p w14:paraId="1436B449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11AF0F45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1,000 IU</w:t>
            </w:r>
          </w:p>
        </w:tc>
        <w:tc>
          <w:tcPr>
            <w:tcW w:w="2158" w:type="dxa"/>
          </w:tcPr>
          <w:p w14:paraId="03E97DC5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2F8AAEC8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Immune function; bone development</w:t>
            </w:r>
          </w:p>
        </w:tc>
      </w:tr>
      <w:tr w:rsidR="003D730A" w14:paraId="26D0B5DB" w14:textId="77777777">
        <w:tc>
          <w:tcPr>
            <w:tcW w:w="2157" w:type="dxa"/>
          </w:tcPr>
          <w:p w14:paraId="5B4737EC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Omega-3 (algal DHA)</w:t>
            </w:r>
          </w:p>
        </w:tc>
        <w:tc>
          <w:tcPr>
            <w:tcW w:w="2157" w:type="dxa"/>
          </w:tcPr>
          <w:p w14:paraId="5639405C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250 mg</w:t>
            </w:r>
          </w:p>
        </w:tc>
        <w:tc>
          <w:tcPr>
            <w:tcW w:w="2158" w:type="dxa"/>
          </w:tcPr>
          <w:p w14:paraId="6D66EB47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205CE52D" w14:textId="77777777" w:rsidR="003D730A" w:rsidRPr="00083DE1" w:rsidRDefault="00000000">
            <w:pPr>
              <w:rPr>
                <w:sz w:val="20"/>
                <w:szCs w:val="20"/>
              </w:rPr>
            </w:pPr>
            <w:r w:rsidRPr="00083DE1">
              <w:rPr>
                <w:sz w:val="20"/>
                <w:szCs w:val="20"/>
              </w:rPr>
              <w:t>Cognitive development; attention support</w:t>
            </w:r>
          </w:p>
        </w:tc>
      </w:tr>
    </w:tbl>
    <w:p w14:paraId="2FDD697A" w14:textId="77777777" w:rsidR="003D730A" w:rsidRDefault="003D730A"/>
    <w:sectPr w:rsidR="003D730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083DE1"/>
    <w:rsid w:val="002F5DF5"/>
    <w:rsid w:val="00317ACB"/>
    <w:rsid w:val="003D730A"/>
    <w:rsid w:val="008369DE"/>
    <w:rsid w:val="009C5B55"/>
    <w:rsid w:val="00A3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08A8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