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EB3041" w14:paraId="0DCCFBBF" w14:textId="77777777">
        <w:tc>
          <w:tcPr>
            <w:tcW w:w="8630" w:type="dxa"/>
            <w:gridSpan w:val="4"/>
            <w:shd w:val="clear" w:color="auto" w:fill="ADADAD" w:themeFill="background2" w:themeFillShade="BF"/>
          </w:tcPr>
          <w:p w14:paraId="621F232A" w14:textId="77777777" w:rsidR="002F132E" w:rsidRDefault="00000000">
            <w:r>
              <w:t xml:space="preserve">Desert Valley Geriatric Medicine </w:t>
            </w:r>
          </w:p>
          <w:p w14:paraId="563A188F" w14:textId="5EE5E82D" w:rsidR="00EB3041" w:rsidRDefault="00000000">
            <w:r>
              <w:t>Patient: Dorothy R. Ingram</w:t>
            </w:r>
            <w:r w:rsidR="002F132E">
              <w:t xml:space="preserve"> </w:t>
            </w:r>
            <w:r>
              <w:t>DOB: 08/01/1939 Visit: 04/20/2026</w:t>
            </w:r>
          </w:p>
        </w:tc>
      </w:tr>
      <w:tr w:rsidR="00EB3041" w14:paraId="0FB6FE11" w14:textId="77777777">
        <w:tc>
          <w:tcPr>
            <w:tcW w:w="2157" w:type="dxa"/>
            <w:shd w:val="clear" w:color="auto" w:fill="D1D1D1" w:themeFill="background2" w:themeFillShade="E6"/>
          </w:tcPr>
          <w:p w14:paraId="0BE2810B" w14:textId="77777777" w:rsidR="00EB3041" w:rsidRDefault="00000000">
            <w:r>
              <w:t>Meds</w:t>
            </w:r>
          </w:p>
        </w:tc>
        <w:tc>
          <w:tcPr>
            <w:tcW w:w="2157" w:type="dxa"/>
            <w:shd w:val="clear" w:color="auto" w:fill="D1D1D1" w:themeFill="background2" w:themeFillShade="E6"/>
          </w:tcPr>
          <w:p w14:paraId="0B7D2E62" w14:textId="77777777" w:rsidR="00EB3041" w:rsidRDefault="00000000">
            <w:r>
              <w:t>Dosage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5C691F98" w14:textId="77777777" w:rsidR="00EB3041" w:rsidRDefault="00000000">
            <w:r>
              <w:t>How often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47EDFAB0" w14:textId="77777777" w:rsidR="00EB3041" w:rsidRDefault="00000000">
            <w:r>
              <w:t>Description</w:t>
            </w:r>
          </w:p>
        </w:tc>
      </w:tr>
      <w:tr w:rsidR="00EB3041" w14:paraId="7A2D0022" w14:textId="77777777">
        <w:tc>
          <w:tcPr>
            <w:tcW w:w="2157" w:type="dxa"/>
          </w:tcPr>
          <w:p w14:paraId="7A3D9AA1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Donepezil</w:t>
            </w:r>
          </w:p>
        </w:tc>
        <w:tc>
          <w:tcPr>
            <w:tcW w:w="2157" w:type="dxa"/>
          </w:tcPr>
          <w:p w14:paraId="28620521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10 mg</w:t>
            </w:r>
          </w:p>
        </w:tc>
        <w:tc>
          <w:tcPr>
            <w:tcW w:w="2158" w:type="dxa"/>
          </w:tcPr>
          <w:p w14:paraId="536B9988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Once daily (PM)</w:t>
            </w:r>
          </w:p>
        </w:tc>
        <w:tc>
          <w:tcPr>
            <w:tcW w:w="2158" w:type="dxa"/>
          </w:tcPr>
          <w:p w14:paraId="61EDC860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Cholinesterase inhibitor; mild Alzheimer's disease</w:t>
            </w:r>
          </w:p>
        </w:tc>
      </w:tr>
      <w:tr w:rsidR="00EB3041" w14:paraId="5E77BE2E" w14:textId="77777777">
        <w:tc>
          <w:tcPr>
            <w:tcW w:w="2157" w:type="dxa"/>
          </w:tcPr>
          <w:p w14:paraId="2B6B22D2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Memantine</w:t>
            </w:r>
          </w:p>
        </w:tc>
        <w:tc>
          <w:tcPr>
            <w:tcW w:w="2157" w:type="dxa"/>
          </w:tcPr>
          <w:p w14:paraId="48239F8A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10 mg</w:t>
            </w:r>
          </w:p>
        </w:tc>
        <w:tc>
          <w:tcPr>
            <w:tcW w:w="2158" w:type="dxa"/>
          </w:tcPr>
          <w:p w14:paraId="19AC5564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Twice daily</w:t>
            </w:r>
          </w:p>
        </w:tc>
        <w:tc>
          <w:tcPr>
            <w:tcW w:w="2158" w:type="dxa"/>
          </w:tcPr>
          <w:p w14:paraId="03549228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NMDA antagonist; moderate-severe dementia</w:t>
            </w:r>
          </w:p>
        </w:tc>
      </w:tr>
      <w:tr w:rsidR="00EB3041" w14:paraId="33BC3D65" w14:textId="77777777">
        <w:tc>
          <w:tcPr>
            <w:tcW w:w="2157" w:type="dxa"/>
          </w:tcPr>
          <w:p w14:paraId="32C7C6A7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Rivastigmine patch</w:t>
            </w:r>
          </w:p>
        </w:tc>
        <w:tc>
          <w:tcPr>
            <w:tcW w:w="2157" w:type="dxa"/>
          </w:tcPr>
          <w:p w14:paraId="351CBA47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9.5 mg/24hr</w:t>
            </w:r>
          </w:p>
        </w:tc>
        <w:tc>
          <w:tcPr>
            <w:tcW w:w="2158" w:type="dxa"/>
          </w:tcPr>
          <w:p w14:paraId="2A2305D1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Change every 24 hours</w:t>
            </w:r>
          </w:p>
        </w:tc>
        <w:tc>
          <w:tcPr>
            <w:tcW w:w="2158" w:type="dxa"/>
          </w:tcPr>
          <w:p w14:paraId="1CA2FC78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Transdermal cholinesterase inhibitor</w:t>
            </w:r>
          </w:p>
        </w:tc>
      </w:tr>
      <w:tr w:rsidR="00EB3041" w14:paraId="7A9DF6C4" w14:textId="77777777">
        <w:tc>
          <w:tcPr>
            <w:tcW w:w="2157" w:type="dxa"/>
          </w:tcPr>
          <w:p w14:paraId="578C0F33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Amlodipine</w:t>
            </w:r>
          </w:p>
        </w:tc>
        <w:tc>
          <w:tcPr>
            <w:tcW w:w="2157" w:type="dxa"/>
          </w:tcPr>
          <w:p w14:paraId="33300A9E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5 mg</w:t>
            </w:r>
          </w:p>
        </w:tc>
        <w:tc>
          <w:tcPr>
            <w:tcW w:w="2158" w:type="dxa"/>
          </w:tcPr>
          <w:p w14:paraId="5514293D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Once daily (AM)</w:t>
            </w:r>
          </w:p>
        </w:tc>
        <w:tc>
          <w:tcPr>
            <w:tcW w:w="2158" w:type="dxa"/>
          </w:tcPr>
          <w:p w14:paraId="017EDAD6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Calcium channel blocker; hypertension</w:t>
            </w:r>
          </w:p>
        </w:tc>
      </w:tr>
      <w:tr w:rsidR="00EB3041" w14:paraId="6CB9A1B5" w14:textId="77777777">
        <w:tc>
          <w:tcPr>
            <w:tcW w:w="2157" w:type="dxa"/>
          </w:tcPr>
          <w:p w14:paraId="1910B1CC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Losartan</w:t>
            </w:r>
          </w:p>
        </w:tc>
        <w:tc>
          <w:tcPr>
            <w:tcW w:w="2157" w:type="dxa"/>
          </w:tcPr>
          <w:p w14:paraId="3081900A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50 mg</w:t>
            </w:r>
          </w:p>
        </w:tc>
        <w:tc>
          <w:tcPr>
            <w:tcW w:w="2158" w:type="dxa"/>
          </w:tcPr>
          <w:p w14:paraId="757F9A8F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Once daily (AM)</w:t>
            </w:r>
          </w:p>
        </w:tc>
        <w:tc>
          <w:tcPr>
            <w:tcW w:w="2158" w:type="dxa"/>
          </w:tcPr>
          <w:p w14:paraId="3B59525E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ARB; hypertension and renal protection</w:t>
            </w:r>
          </w:p>
        </w:tc>
      </w:tr>
      <w:tr w:rsidR="00EB3041" w14:paraId="760AA2AF" w14:textId="77777777">
        <w:tc>
          <w:tcPr>
            <w:tcW w:w="2157" w:type="dxa"/>
          </w:tcPr>
          <w:p w14:paraId="287D9A7C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Pantoprazole</w:t>
            </w:r>
          </w:p>
        </w:tc>
        <w:tc>
          <w:tcPr>
            <w:tcW w:w="2157" w:type="dxa"/>
          </w:tcPr>
          <w:p w14:paraId="759C5917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40 mg</w:t>
            </w:r>
          </w:p>
        </w:tc>
        <w:tc>
          <w:tcPr>
            <w:tcW w:w="2158" w:type="dxa"/>
          </w:tcPr>
          <w:p w14:paraId="0A12C397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Once daily (before AM meal)</w:t>
            </w:r>
          </w:p>
        </w:tc>
        <w:tc>
          <w:tcPr>
            <w:tcW w:w="2158" w:type="dxa"/>
          </w:tcPr>
          <w:p w14:paraId="0CE631A1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PPI; chronic GERD management</w:t>
            </w:r>
          </w:p>
        </w:tc>
      </w:tr>
      <w:tr w:rsidR="00EB3041" w14:paraId="16C6B0CD" w14:textId="77777777">
        <w:tc>
          <w:tcPr>
            <w:tcW w:w="2157" w:type="dxa"/>
          </w:tcPr>
          <w:p w14:paraId="1110126E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Mirtazapine</w:t>
            </w:r>
          </w:p>
        </w:tc>
        <w:tc>
          <w:tcPr>
            <w:tcW w:w="2157" w:type="dxa"/>
          </w:tcPr>
          <w:p w14:paraId="309FCD5E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15 mg</w:t>
            </w:r>
          </w:p>
        </w:tc>
        <w:tc>
          <w:tcPr>
            <w:tcW w:w="2158" w:type="dxa"/>
          </w:tcPr>
          <w:p w14:paraId="7D966CF5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Once daily (bedtime)</w:t>
            </w:r>
          </w:p>
        </w:tc>
        <w:tc>
          <w:tcPr>
            <w:tcW w:w="2158" w:type="dxa"/>
          </w:tcPr>
          <w:p w14:paraId="0EDEDCBB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NaSSA; depression, appetite stimulation</w:t>
            </w:r>
          </w:p>
        </w:tc>
      </w:tr>
      <w:tr w:rsidR="00EB3041" w14:paraId="67D1ECFD" w14:textId="77777777">
        <w:tc>
          <w:tcPr>
            <w:tcW w:w="2157" w:type="dxa"/>
          </w:tcPr>
          <w:p w14:paraId="5F796B28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Lorazepam</w:t>
            </w:r>
          </w:p>
        </w:tc>
        <w:tc>
          <w:tcPr>
            <w:tcW w:w="2157" w:type="dxa"/>
          </w:tcPr>
          <w:p w14:paraId="5010D0B2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0.5 mg</w:t>
            </w:r>
          </w:p>
        </w:tc>
        <w:tc>
          <w:tcPr>
            <w:tcW w:w="2158" w:type="dxa"/>
          </w:tcPr>
          <w:p w14:paraId="30231D79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As needed (max 1x/day)</w:t>
            </w:r>
          </w:p>
        </w:tc>
        <w:tc>
          <w:tcPr>
            <w:tcW w:w="2158" w:type="dxa"/>
          </w:tcPr>
          <w:p w14:paraId="4E2E7882" w14:textId="77777777" w:rsidR="00EB3041" w:rsidRPr="002F132E" w:rsidRDefault="00000000">
            <w:pPr>
              <w:rPr>
                <w:sz w:val="20"/>
                <w:szCs w:val="20"/>
              </w:rPr>
            </w:pPr>
            <w:proofErr w:type="gramStart"/>
            <w:r w:rsidRPr="002F132E">
              <w:rPr>
                <w:sz w:val="20"/>
                <w:szCs w:val="20"/>
              </w:rPr>
              <w:t>Benzodiazepine;</w:t>
            </w:r>
            <w:proofErr w:type="gramEnd"/>
            <w:r w:rsidRPr="002F132E">
              <w:rPr>
                <w:sz w:val="20"/>
                <w:szCs w:val="20"/>
              </w:rPr>
              <w:t xml:space="preserve"> acute agitation / anxiety — use caution</w:t>
            </w:r>
          </w:p>
        </w:tc>
      </w:tr>
    </w:tbl>
    <w:p w14:paraId="7B7D96F9" w14:textId="77777777" w:rsidR="00EB3041" w:rsidRDefault="00EB30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EB3041" w14:paraId="1AB13EC1" w14:textId="77777777">
        <w:tc>
          <w:tcPr>
            <w:tcW w:w="2157" w:type="dxa"/>
            <w:shd w:val="clear" w:color="auto" w:fill="D1D1D1" w:themeFill="background2" w:themeFillShade="E6"/>
          </w:tcPr>
          <w:p w14:paraId="1C15D255" w14:textId="77777777" w:rsidR="00EB3041" w:rsidRDefault="00000000">
            <w:r>
              <w:t>Daily Vitamins</w:t>
            </w:r>
          </w:p>
        </w:tc>
        <w:tc>
          <w:tcPr>
            <w:tcW w:w="2157" w:type="dxa"/>
            <w:shd w:val="clear" w:color="auto" w:fill="D1D1D1" w:themeFill="background2" w:themeFillShade="E6"/>
          </w:tcPr>
          <w:p w14:paraId="0C32D4BC" w14:textId="77777777" w:rsidR="00EB3041" w:rsidRDefault="00000000">
            <w:r>
              <w:t>Dosage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1517D936" w14:textId="77777777" w:rsidR="00EB3041" w:rsidRDefault="00000000">
            <w:r>
              <w:t>How often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4EF4A6D6" w14:textId="77777777" w:rsidR="00EB3041" w:rsidRDefault="00000000">
            <w:r>
              <w:t>Description</w:t>
            </w:r>
          </w:p>
        </w:tc>
      </w:tr>
      <w:tr w:rsidR="00EB3041" w14:paraId="358DB87E" w14:textId="77777777">
        <w:tc>
          <w:tcPr>
            <w:tcW w:w="2157" w:type="dxa"/>
          </w:tcPr>
          <w:p w14:paraId="1CC131E1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Vitamin B12 (sublingual)</w:t>
            </w:r>
          </w:p>
        </w:tc>
        <w:tc>
          <w:tcPr>
            <w:tcW w:w="2157" w:type="dxa"/>
          </w:tcPr>
          <w:p w14:paraId="3AA34E52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1,000 mcg</w:t>
            </w:r>
          </w:p>
        </w:tc>
        <w:tc>
          <w:tcPr>
            <w:tcW w:w="2158" w:type="dxa"/>
          </w:tcPr>
          <w:p w14:paraId="26006181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Once daily</w:t>
            </w:r>
          </w:p>
        </w:tc>
        <w:tc>
          <w:tcPr>
            <w:tcW w:w="2158" w:type="dxa"/>
          </w:tcPr>
          <w:p w14:paraId="77A950CD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Neurological support; age-related B12 malabsorption</w:t>
            </w:r>
          </w:p>
        </w:tc>
      </w:tr>
      <w:tr w:rsidR="00EB3041" w14:paraId="53EC2CBE" w14:textId="77777777">
        <w:tc>
          <w:tcPr>
            <w:tcW w:w="2157" w:type="dxa"/>
          </w:tcPr>
          <w:p w14:paraId="18EB8288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Vitamin D3</w:t>
            </w:r>
          </w:p>
        </w:tc>
        <w:tc>
          <w:tcPr>
            <w:tcW w:w="2157" w:type="dxa"/>
          </w:tcPr>
          <w:p w14:paraId="1DFB5D32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3,000 IU</w:t>
            </w:r>
          </w:p>
        </w:tc>
        <w:tc>
          <w:tcPr>
            <w:tcW w:w="2158" w:type="dxa"/>
          </w:tcPr>
          <w:p w14:paraId="4F330D12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Once daily (with meal)</w:t>
            </w:r>
          </w:p>
        </w:tc>
        <w:tc>
          <w:tcPr>
            <w:tcW w:w="2158" w:type="dxa"/>
          </w:tcPr>
          <w:p w14:paraId="7489576F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Fall prevention; bone density</w:t>
            </w:r>
          </w:p>
        </w:tc>
      </w:tr>
      <w:tr w:rsidR="00EB3041" w14:paraId="52285B50" w14:textId="77777777">
        <w:tc>
          <w:tcPr>
            <w:tcW w:w="2157" w:type="dxa"/>
          </w:tcPr>
          <w:p w14:paraId="267D52C3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Folate</w:t>
            </w:r>
          </w:p>
        </w:tc>
        <w:tc>
          <w:tcPr>
            <w:tcW w:w="2157" w:type="dxa"/>
          </w:tcPr>
          <w:p w14:paraId="30DCBF3C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400 mcg</w:t>
            </w:r>
          </w:p>
        </w:tc>
        <w:tc>
          <w:tcPr>
            <w:tcW w:w="2158" w:type="dxa"/>
          </w:tcPr>
          <w:p w14:paraId="1FA123B6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Once daily</w:t>
            </w:r>
          </w:p>
        </w:tc>
        <w:tc>
          <w:tcPr>
            <w:tcW w:w="2158" w:type="dxa"/>
          </w:tcPr>
          <w:p w14:paraId="03E3B877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Homocysteine regulation; cognitive support</w:t>
            </w:r>
          </w:p>
        </w:tc>
      </w:tr>
      <w:tr w:rsidR="00EB3041" w14:paraId="554C0132" w14:textId="77777777">
        <w:tc>
          <w:tcPr>
            <w:tcW w:w="2157" w:type="dxa"/>
          </w:tcPr>
          <w:p w14:paraId="7143DABC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Melatonin</w:t>
            </w:r>
          </w:p>
        </w:tc>
        <w:tc>
          <w:tcPr>
            <w:tcW w:w="2157" w:type="dxa"/>
          </w:tcPr>
          <w:p w14:paraId="532B53DC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0.5 mg</w:t>
            </w:r>
          </w:p>
        </w:tc>
        <w:tc>
          <w:tcPr>
            <w:tcW w:w="2158" w:type="dxa"/>
          </w:tcPr>
          <w:p w14:paraId="403CF89D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30 min before bedtime</w:t>
            </w:r>
          </w:p>
        </w:tc>
        <w:tc>
          <w:tcPr>
            <w:tcW w:w="2158" w:type="dxa"/>
          </w:tcPr>
          <w:p w14:paraId="7E1A62C4" w14:textId="77777777" w:rsidR="00EB3041" w:rsidRPr="002F132E" w:rsidRDefault="00000000">
            <w:pPr>
              <w:rPr>
                <w:sz w:val="20"/>
                <w:szCs w:val="20"/>
              </w:rPr>
            </w:pPr>
            <w:r w:rsidRPr="002F132E">
              <w:rPr>
                <w:sz w:val="20"/>
                <w:szCs w:val="20"/>
              </w:rPr>
              <w:t>Circadian rhythm support; sleep onset</w:t>
            </w:r>
          </w:p>
        </w:tc>
      </w:tr>
    </w:tbl>
    <w:p w14:paraId="5FD6CF14" w14:textId="77777777" w:rsidR="00EB3041" w:rsidRDefault="00EB3041"/>
    <w:sectPr w:rsidR="00EB304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F5"/>
    <w:rsid w:val="002F132E"/>
    <w:rsid w:val="002F5DF5"/>
    <w:rsid w:val="008369DE"/>
    <w:rsid w:val="009C5B55"/>
    <w:rsid w:val="00A338B8"/>
    <w:rsid w:val="00EB3041"/>
    <w:rsid w:val="00ED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63FEC"/>
  <w15:chartTrackingRefBased/>
  <w15:docId w15:val="{BFD38B58-65DF-4009-8D3F-34BDE107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2026-03-26T16:27:00Z</dcterms:created>
  <dcterms:modified xsi:type="dcterms:W3CDTF">2026-04-30T13:35:00Z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c8a76e74-9675-4a65-b0a5-e6e8d570a830</vt:lpwstr>
  </property>
</Properties>
</file>