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A52EB" w14:paraId="431C535C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6A2E607D" w14:textId="77777777" w:rsidR="00BF4769" w:rsidRDefault="00000000">
            <w:r>
              <w:t xml:space="preserve">Harbor Oncology &amp; Hematology Center </w:t>
            </w:r>
          </w:p>
          <w:p w14:paraId="3CE54888" w14:textId="05DA8E13" w:rsidR="009A52EB" w:rsidRDefault="00000000">
            <w:r>
              <w:t>Patient: Sandra L. Meyers DOB: 05/17/1963 Visit: 04/22/2026</w:t>
            </w:r>
          </w:p>
        </w:tc>
      </w:tr>
      <w:tr w:rsidR="009A52EB" w14:paraId="56A8B22A" w14:textId="77777777">
        <w:tc>
          <w:tcPr>
            <w:tcW w:w="2157" w:type="dxa"/>
            <w:shd w:val="clear" w:color="auto" w:fill="D1D1D1" w:themeFill="background2" w:themeFillShade="E6"/>
          </w:tcPr>
          <w:p w14:paraId="30B6D4FA" w14:textId="77777777" w:rsidR="009A52EB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71154B84" w14:textId="77777777" w:rsidR="009A52EB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58FEF8D8" w14:textId="77777777" w:rsidR="009A52EB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89D53E7" w14:textId="77777777" w:rsidR="009A52EB" w:rsidRDefault="00000000">
            <w:r>
              <w:t>Description</w:t>
            </w:r>
          </w:p>
        </w:tc>
      </w:tr>
      <w:tr w:rsidR="009A52EB" w14:paraId="555F1760" w14:textId="77777777">
        <w:tc>
          <w:tcPr>
            <w:tcW w:w="2157" w:type="dxa"/>
          </w:tcPr>
          <w:p w14:paraId="20C7C8A8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Tamoxifen</w:t>
            </w:r>
          </w:p>
        </w:tc>
        <w:tc>
          <w:tcPr>
            <w:tcW w:w="2157" w:type="dxa"/>
          </w:tcPr>
          <w:p w14:paraId="2B698EE1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20 mg</w:t>
            </w:r>
          </w:p>
        </w:tc>
        <w:tc>
          <w:tcPr>
            <w:tcW w:w="2158" w:type="dxa"/>
          </w:tcPr>
          <w:p w14:paraId="0B9B09E9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55D7DDA6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SERM; ER-positive breast cancer adjuvant therapy</w:t>
            </w:r>
          </w:p>
        </w:tc>
      </w:tr>
      <w:tr w:rsidR="009A52EB" w14:paraId="10A19B00" w14:textId="77777777">
        <w:tc>
          <w:tcPr>
            <w:tcW w:w="2157" w:type="dxa"/>
          </w:tcPr>
          <w:p w14:paraId="3C109132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Letrozole</w:t>
            </w:r>
          </w:p>
        </w:tc>
        <w:tc>
          <w:tcPr>
            <w:tcW w:w="2157" w:type="dxa"/>
          </w:tcPr>
          <w:p w14:paraId="629F0467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2.5 mg</w:t>
            </w:r>
          </w:p>
        </w:tc>
        <w:tc>
          <w:tcPr>
            <w:tcW w:w="2158" w:type="dxa"/>
          </w:tcPr>
          <w:p w14:paraId="0978CA13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79ECE888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Aromatase inhibitor; post-menopausal HR+ cancer</w:t>
            </w:r>
          </w:p>
        </w:tc>
      </w:tr>
      <w:tr w:rsidR="009A52EB" w14:paraId="39B793AC" w14:textId="77777777">
        <w:tc>
          <w:tcPr>
            <w:tcW w:w="2157" w:type="dxa"/>
          </w:tcPr>
          <w:p w14:paraId="22C41090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Dexamethasone</w:t>
            </w:r>
          </w:p>
        </w:tc>
        <w:tc>
          <w:tcPr>
            <w:tcW w:w="2157" w:type="dxa"/>
          </w:tcPr>
          <w:p w14:paraId="56BC3BAE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4 mg</w:t>
            </w:r>
          </w:p>
        </w:tc>
        <w:tc>
          <w:tcPr>
            <w:tcW w:w="2158" w:type="dxa"/>
          </w:tcPr>
          <w:p w14:paraId="0E4A541C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Twice daily (chemo days)</w:t>
            </w:r>
          </w:p>
        </w:tc>
        <w:tc>
          <w:tcPr>
            <w:tcW w:w="2158" w:type="dxa"/>
          </w:tcPr>
          <w:p w14:paraId="54897E1A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Corticosteroid; anti-emetic / anti-inflammatory</w:t>
            </w:r>
          </w:p>
        </w:tc>
      </w:tr>
      <w:tr w:rsidR="009A52EB" w14:paraId="7F74239F" w14:textId="77777777">
        <w:tc>
          <w:tcPr>
            <w:tcW w:w="2157" w:type="dxa"/>
          </w:tcPr>
          <w:p w14:paraId="52A8FA5C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Ondansetron</w:t>
            </w:r>
          </w:p>
        </w:tc>
        <w:tc>
          <w:tcPr>
            <w:tcW w:w="2157" w:type="dxa"/>
          </w:tcPr>
          <w:p w14:paraId="37998333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8 mg</w:t>
            </w:r>
          </w:p>
        </w:tc>
        <w:tc>
          <w:tcPr>
            <w:tcW w:w="2158" w:type="dxa"/>
          </w:tcPr>
          <w:p w14:paraId="174B04F6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Every 8 hrs (PRN nausea)</w:t>
            </w:r>
          </w:p>
        </w:tc>
        <w:tc>
          <w:tcPr>
            <w:tcW w:w="2158" w:type="dxa"/>
          </w:tcPr>
          <w:p w14:paraId="340A0525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5-HT3 antagonist; chemotherapy-induced nausea</w:t>
            </w:r>
          </w:p>
        </w:tc>
      </w:tr>
      <w:tr w:rsidR="009A52EB" w14:paraId="78945228" w14:textId="77777777">
        <w:tc>
          <w:tcPr>
            <w:tcW w:w="2157" w:type="dxa"/>
          </w:tcPr>
          <w:p w14:paraId="25877A08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Filgrastim (G-CSF)</w:t>
            </w:r>
          </w:p>
        </w:tc>
        <w:tc>
          <w:tcPr>
            <w:tcW w:w="2157" w:type="dxa"/>
          </w:tcPr>
          <w:p w14:paraId="596154B4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300 mcg SC</w:t>
            </w:r>
          </w:p>
        </w:tc>
        <w:tc>
          <w:tcPr>
            <w:tcW w:w="2158" w:type="dxa"/>
          </w:tcPr>
          <w:p w14:paraId="05FB6864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Per oncology protocol</w:t>
            </w:r>
          </w:p>
        </w:tc>
        <w:tc>
          <w:tcPr>
            <w:tcW w:w="2158" w:type="dxa"/>
          </w:tcPr>
          <w:p w14:paraId="18E0867E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Granulocyte stimulant; neutropenia prophylaxis</w:t>
            </w:r>
          </w:p>
        </w:tc>
      </w:tr>
      <w:tr w:rsidR="009A52EB" w14:paraId="0E91F3BC" w14:textId="77777777">
        <w:tc>
          <w:tcPr>
            <w:tcW w:w="2157" w:type="dxa"/>
          </w:tcPr>
          <w:p w14:paraId="6D20C62F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Enoxaparin</w:t>
            </w:r>
          </w:p>
        </w:tc>
        <w:tc>
          <w:tcPr>
            <w:tcW w:w="2157" w:type="dxa"/>
          </w:tcPr>
          <w:p w14:paraId="1D5FEA71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40 mg SC</w:t>
            </w:r>
          </w:p>
        </w:tc>
        <w:tc>
          <w:tcPr>
            <w:tcW w:w="2158" w:type="dxa"/>
          </w:tcPr>
          <w:p w14:paraId="03B1C426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Once daily</w:t>
            </w:r>
          </w:p>
        </w:tc>
        <w:tc>
          <w:tcPr>
            <w:tcW w:w="2158" w:type="dxa"/>
          </w:tcPr>
          <w:p w14:paraId="55BEAA23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LMWH; VTE prophylaxis in oncology patient</w:t>
            </w:r>
          </w:p>
        </w:tc>
      </w:tr>
      <w:tr w:rsidR="009A52EB" w14:paraId="179F6308" w14:textId="77777777">
        <w:tc>
          <w:tcPr>
            <w:tcW w:w="2157" w:type="dxa"/>
          </w:tcPr>
          <w:p w14:paraId="10401FCF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Gabapentin</w:t>
            </w:r>
          </w:p>
        </w:tc>
        <w:tc>
          <w:tcPr>
            <w:tcW w:w="2157" w:type="dxa"/>
          </w:tcPr>
          <w:p w14:paraId="0710F7A2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300 mg</w:t>
            </w:r>
          </w:p>
        </w:tc>
        <w:tc>
          <w:tcPr>
            <w:tcW w:w="2158" w:type="dxa"/>
          </w:tcPr>
          <w:p w14:paraId="30F8B481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Three times daily</w:t>
            </w:r>
          </w:p>
        </w:tc>
        <w:tc>
          <w:tcPr>
            <w:tcW w:w="2158" w:type="dxa"/>
          </w:tcPr>
          <w:p w14:paraId="50318A9C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Neuropathic pain; chemotherapy-induced neuropathy</w:t>
            </w:r>
          </w:p>
        </w:tc>
      </w:tr>
      <w:tr w:rsidR="009A52EB" w14:paraId="029F8B25" w14:textId="77777777">
        <w:tc>
          <w:tcPr>
            <w:tcW w:w="2157" w:type="dxa"/>
          </w:tcPr>
          <w:p w14:paraId="58A6F402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Pantoprazole</w:t>
            </w:r>
          </w:p>
        </w:tc>
        <w:tc>
          <w:tcPr>
            <w:tcW w:w="2157" w:type="dxa"/>
          </w:tcPr>
          <w:p w14:paraId="17EBE338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40 mg</w:t>
            </w:r>
          </w:p>
        </w:tc>
        <w:tc>
          <w:tcPr>
            <w:tcW w:w="2158" w:type="dxa"/>
          </w:tcPr>
          <w:p w14:paraId="4F78A3CC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Once daily (before AM meal)</w:t>
            </w:r>
          </w:p>
        </w:tc>
        <w:tc>
          <w:tcPr>
            <w:tcW w:w="2158" w:type="dxa"/>
          </w:tcPr>
          <w:p w14:paraId="6230BBBF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PPI; steroid / NSAID GI protection</w:t>
            </w:r>
          </w:p>
        </w:tc>
      </w:tr>
      <w:tr w:rsidR="009A52EB" w14:paraId="757CD188" w14:textId="77777777">
        <w:tc>
          <w:tcPr>
            <w:tcW w:w="2157" w:type="dxa"/>
          </w:tcPr>
          <w:p w14:paraId="3DA9CE7A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Megestrol Acetate</w:t>
            </w:r>
          </w:p>
        </w:tc>
        <w:tc>
          <w:tcPr>
            <w:tcW w:w="2157" w:type="dxa"/>
          </w:tcPr>
          <w:p w14:paraId="3662F577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160 mg</w:t>
            </w:r>
          </w:p>
        </w:tc>
        <w:tc>
          <w:tcPr>
            <w:tcW w:w="2158" w:type="dxa"/>
          </w:tcPr>
          <w:p w14:paraId="0D6FAA3A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0FE23E4D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Progestin; cancer-related cachexia / appetite stimulation</w:t>
            </w:r>
          </w:p>
        </w:tc>
      </w:tr>
      <w:tr w:rsidR="009A52EB" w14:paraId="7E411D49" w14:textId="77777777">
        <w:tc>
          <w:tcPr>
            <w:tcW w:w="2157" w:type="dxa"/>
          </w:tcPr>
          <w:p w14:paraId="507F4C23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Zoledronic Acid</w:t>
            </w:r>
          </w:p>
        </w:tc>
        <w:tc>
          <w:tcPr>
            <w:tcW w:w="2157" w:type="dxa"/>
          </w:tcPr>
          <w:p w14:paraId="3E98ACC3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4 mg IV</w:t>
            </w:r>
          </w:p>
        </w:tc>
        <w:tc>
          <w:tcPr>
            <w:tcW w:w="2158" w:type="dxa"/>
          </w:tcPr>
          <w:p w14:paraId="02288AB6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Every 12 weeks (infusion)</w:t>
            </w:r>
          </w:p>
        </w:tc>
        <w:tc>
          <w:tcPr>
            <w:tcW w:w="2158" w:type="dxa"/>
          </w:tcPr>
          <w:p w14:paraId="685E21BC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Bisphosphonate; bone metastasis prevention</w:t>
            </w:r>
          </w:p>
        </w:tc>
      </w:tr>
    </w:tbl>
    <w:p w14:paraId="230D7142" w14:textId="77777777" w:rsidR="009A52EB" w:rsidRDefault="009A52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A52EB" w14:paraId="0315A797" w14:textId="77777777">
        <w:tc>
          <w:tcPr>
            <w:tcW w:w="2157" w:type="dxa"/>
            <w:shd w:val="clear" w:color="auto" w:fill="D1D1D1" w:themeFill="background2" w:themeFillShade="E6"/>
          </w:tcPr>
          <w:p w14:paraId="55BEAEA4" w14:textId="77777777" w:rsidR="009A52EB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0F3EB63A" w14:textId="77777777" w:rsidR="009A52EB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73E19114" w14:textId="77777777" w:rsidR="009A52EB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2F87AD71" w14:textId="77777777" w:rsidR="009A52EB" w:rsidRDefault="00000000">
            <w:r>
              <w:t>Description</w:t>
            </w:r>
          </w:p>
        </w:tc>
      </w:tr>
      <w:tr w:rsidR="009A52EB" w14:paraId="450B1E68" w14:textId="77777777">
        <w:tc>
          <w:tcPr>
            <w:tcW w:w="2157" w:type="dxa"/>
          </w:tcPr>
          <w:p w14:paraId="70CAEFAB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34596C95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2,000 IU</w:t>
            </w:r>
          </w:p>
        </w:tc>
        <w:tc>
          <w:tcPr>
            <w:tcW w:w="2158" w:type="dxa"/>
          </w:tcPr>
          <w:p w14:paraId="65A76B77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62D29E2D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Oncologic support; deficiency correction</w:t>
            </w:r>
          </w:p>
        </w:tc>
      </w:tr>
      <w:tr w:rsidR="009A52EB" w14:paraId="6B9EA8F3" w14:textId="77777777">
        <w:tc>
          <w:tcPr>
            <w:tcW w:w="2157" w:type="dxa"/>
          </w:tcPr>
          <w:p w14:paraId="569A5180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Calcium Citrate</w:t>
            </w:r>
          </w:p>
        </w:tc>
        <w:tc>
          <w:tcPr>
            <w:tcW w:w="2157" w:type="dxa"/>
          </w:tcPr>
          <w:p w14:paraId="79356D8B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500 mg</w:t>
            </w:r>
          </w:p>
        </w:tc>
        <w:tc>
          <w:tcPr>
            <w:tcW w:w="2158" w:type="dxa"/>
          </w:tcPr>
          <w:p w14:paraId="11B869BB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Twice daily (with meal)</w:t>
            </w:r>
          </w:p>
        </w:tc>
        <w:tc>
          <w:tcPr>
            <w:tcW w:w="2158" w:type="dxa"/>
          </w:tcPr>
          <w:p w14:paraId="6ABCE4B3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Bone protection; aromatase inhibitor adjunct</w:t>
            </w:r>
          </w:p>
        </w:tc>
      </w:tr>
      <w:tr w:rsidR="009A52EB" w14:paraId="2BA26DAE" w14:textId="77777777">
        <w:tc>
          <w:tcPr>
            <w:tcW w:w="2157" w:type="dxa"/>
          </w:tcPr>
          <w:p w14:paraId="40C47122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Ginger Extract</w:t>
            </w:r>
          </w:p>
        </w:tc>
        <w:tc>
          <w:tcPr>
            <w:tcW w:w="2157" w:type="dxa"/>
          </w:tcPr>
          <w:p w14:paraId="4B34ECC2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550 mg</w:t>
            </w:r>
          </w:p>
        </w:tc>
        <w:tc>
          <w:tcPr>
            <w:tcW w:w="2158" w:type="dxa"/>
          </w:tcPr>
          <w:p w14:paraId="486BAC49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Twice daily (PRN nausea)</w:t>
            </w:r>
          </w:p>
        </w:tc>
        <w:tc>
          <w:tcPr>
            <w:tcW w:w="2158" w:type="dxa"/>
          </w:tcPr>
          <w:p w14:paraId="65BD563E" w14:textId="77777777" w:rsidR="009A52EB" w:rsidRPr="00BF4769" w:rsidRDefault="00000000">
            <w:pPr>
              <w:rPr>
                <w:sz w:val="20"/>
                <w:szCs w:val="20"/>
              </w:rPr>
            </w:pPr>
            <w:r w:rsidRPr="00BF4769">
              <w:rPr>
                <w:sz w:val="20"/>
                <w:szCs w:val="20"/>
              </w:rPr>
              <w:t>Adjunct anti-nausea; chemo support</w:t>
            </w:r>
          </w:p>
        </w:tc>
      </w:tr>
    </w:tbl>
    <w:p w14:paraId="115667EF" w14:textId="77777777" w:rsidR="009A52EB" w:rsidRDefault="009A52EB"/>
    <w:sectPr w:rsidR="009A52E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5DF5"/>
    <w:rsid w:val="006306A8"/>
    <w:rsid w:val="008369DE"/>
    <w:rsid w:val="009A52EB"/>
    <w:rsid w:val="009C5B55"/>
    <w:rsid w:val="00A338B8"/>
    <w:rsid w:val="00B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C820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