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Calibri" w:cs="Calibri" w:eastAsia="Calibri" w:hAnsi="Calibri"/>
          <w:b/>
          <w:bCs/>
          <w:color w:val="1F3864"/>
          <w:sz w:val="52"/>
          <w:szCs w:val="52"/>
        </w:rPr>
        <w:t xml:space="preserve">REGISTRO DE ACTIVIDADES DE TRATAMIENTO</w:t>
      </w:r>
    </w:p>
    <w:p>
      <w:pPr>
        <w:spacing w:after="80" w:before="0"/>
        <w:jc w:val="center"/>
      </w:pPr>
      <w:r>
        <w:rPr>
          <w:rFonts w:ascii="Calibri" w:cs="Calibri" w:eastAsia="Calibri" w:hAnsi="Calibri"/>
          <w:b/>
          <w:bCs/>
          <w:color w:val="1F3864"/>
          <w:sz w:val="44"/>
          <w:szCs w:val="44"/>
        </w:rPr>
        <w:t xml:space="preserve">(RAT)</w:t>
      </w:r>
    </w:p>
    <w:p>
      <w:pPr>
        <w:pBdr>
          <w:bottom w:val="single" w:color="2E74B5" w:sz="8" w:space="4"/>
        </w:pBdr>
        <w:spacing w:after="80" w:before="160"/>
        <w:jc w:val="center"/>
      </w:pPr>
      <w:r>
        <w:rPr>
          <w:rFonts w:ascii="Calibri" w:cs="Calibri" w:eastAsia="Calibri" w:hAnsi="Calibri"/>
          <w:i/>
          <w:iCs/>
          <w:color w:val="2E74B5"/>
          <w:sz w:val="24"/>
          <w:szCs w:val="24"/>
        </w:rPr>
        <w:t xml:space="preserve">Conforme al Artículo 30 del Reglamento (UE) 2016/679 (RGPD)</w:t>
      </w:r>
    </w:p>
    <w:p>
      <w:pPr>
        <w:spacing w:after="0" w:before="400"/>
      </w:pPr>
      <w:r>
        <w:t xml:space="preserve"/>
      </w:r>
    </w:p>
    <w:p>
      <w:pPr>
        <w:spacing w:after="120" w:before="0"/>
        <w:jc w:val="center"/>
      </w:pPr>
      <w:r>
        <w:rPr>
          <w:rFonts w:ascii="Calibri" w:cs="Calibri" w:eastAsia="Calibri" w:hAnsi="Calibri"/>
          <w:b/>
          <w:bCs/>
          <w:color w:val="000000"/>
          <w:sz w:val="24"/>
          <w:szCs w:val="24"/>
        </w:rPr>
        <w:t xml:space="preserve">Sistema: Centro de Mando – centrodemando.es</w:t>
      </w:r>
    </w:p>
    <w:p>
      <w:pPr>
        <w:spacing w:after="80" w:before="0"/>
        <w:jc w:val="center"/>
      </w:pPr>
      <w:r>
        <w:rPr>
          <w:rFonts w:ascii="Calibri" w:cs="Calibri" w:eastAsia="Calibri" w:hAnsi="Calibri"/>
          <w:color w:val="000000"/>
          <w:sz w:val="22"/>
          <w:szCs w:val="22"/>
        </w:rPr>
        <w:t xml:space="preserve">Fecha: Marzo 2026</w:t>
      </w:r>
    </w:p>
    <w:p>
      <w:pPr>
        <w:spacing w:after="80" w:before="0"/>
        <w:jc w:val="center"/>
      </w:pPr>
      <w:r>
        <w:rPr>
          <w:rFonts w:ascii="Calibri" w:cs="Calibri" w:eastAsia="Calibri" w:hAnsi="Calibri"/>
          <w:color w:val="000000"/>
          <w:sz w:val="22"/>
          <w:szCs w:val="22"/>
        </w:rPr>
        <w:t xml:space="preserve">Versión: 1.0</w:t>
      </w:r>
    </w:p>
    <w:p>
      <w:pPr>
        <w:spacing w:after="0" w:before="200"/>
        <w:jc w:val="center"/>
      </w:pPr>
      <w:r>
        <w:rPr>
          <w:rFonts w:ascii="Calibri" w:cs="Calibri" w:eastAsia="Calibri" w:hAnsi="Calibri"/>
          <w:b/>
          <w:bCs/>
          <w:color w:val="C00000"/>
          <w:sz w:val="22"/>
          <w:szCs w:val="22"/>
        </w:rPr>
        <w:t xml:space="preserve">Clasificación: CONFIDENCIAL</w:t>
      </w:r>
    </w:p>
    <w:p>
      <w:r>
        <w:br w:type="page"/>
      </w:r>
    </w:p>
    <w:p>
      <w:pPr>
        <w:pStyle w:val="Heading1"/>
        <w:pBdr>
          <w:bottom w:val="single" w:color="2E74B5" w:sz="6" w:space="4"/>
        </w:pBdr>
        <w:spacing w:after="200" w:before="400"/>
      </w:pPr>
      <w:r>
        <w:rPr>
          <w:rFonts w:ascii="Calibri" w:cs="Calibri" w:eastAsia="Calibri" w:hAnsi="Calibri"/>
          <w:b/>
          <w:bCs/>
          <w:color w:val="1F3864"/>
          <w:sz w:val="32"/>
          <w:szCs w:val="32"/>
        </w:rP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6" w:space="4"/>
        </w:pBdr>
        <w:spacing w:after="200" w:before="400"/>
      </w:pPr>
      <w:r>
        <w:rPr>
          <w:rFonts w:ascii="Calibri" w:cs="Calibri" w:eastAsia="Calibri" w:hAnsi="Calibri"/>
          <w:b/>
          <w:bCs/>
          <w:color w:val="1F3864"/>
          <w:sz w:val="32"/>
          <w:szCs w:val="32"/>
        </w:rPr>
        <w:t xml:space="preserve">1. DATOS DEL RESPONSABLE DEL TRATAMIENTO</w:t>
      </w:r>
    </w:p>
    <w:p>
      <w:pPr>
        <w:spacing w:after="120" w:before="80"/>
      </w:pPr>
      <w:r>
        <w:rPr>
          <w:rFonts w:ascii="Calibri" w:cs="Calibri" w:eastAsia="Calibri" w:hAnsi="Calibri"/>
          <w:sz w:val="20"/>
          <w:szCs w:val="20"/>
        </w:rPr>
        <w:t xml:space="preserve">El Responsable del Tratamiento de los datos personales tratados mediante el sistema Centro de Mando es la entidad cuyos datos se indican a continuación. Esta información debe ser completada antes de la puesta en producción del sistema.</w:t>
      </w:r>
    </w:p>
    <w:p>
      <w:pPr>
        <w:spacing w:after="0" w:before="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c>
          <w:tcPr>
            <w:tcW w:type="dxa" w:w="27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Campo</w:t>
            </w:r>
          </w:p>
        </w:tc>
        <w:tc>
          <w:tcPr>
            <w:tcW w:type="dxa" w:w="63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Detalle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Nombre / Razón social</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 completar por el cliente]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NIF / CIF</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 completar]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Dirección</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 completar]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Email de contacto</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 completar]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Teléfono</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 completar]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Delegado de Protección de Datos (DPD)</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[Indicar si aplica o N/A]</w:t>
            </w:r>
          </w:p>
        </w:tc>
      </w:tr>
    </w:tbl>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2. DESCRIPCIÓN GENERAL DEL SISTEMA</w:t>
      </w:r>
    </w:p>
    <w:p>
      <w:pPr>
        <w:spacing w:after="120" w:before="80"/>
      </w:pPr>
      <w:r>
        <w:rPr>
          <w:rFonts w:ascii="Calibri" w:cs="Calibri" w:eastAsia="Calibri" w:hAnsi="Calibri"/>
          <w:sz w:val="20"/>
          <w:szCs w:val="20"/>
        </w:rPr>
        <w:t xml:space="preserve">El sistema "Centro de Mando" es una plataforma de agente de voz basada en inteligencia artificial que permite atender llamadas telefónicas entrantes y salientes de forma automatizada. El sistema integra múltiples proveedores tecnológicos para ofrecer un servicio de recepción virtual, gestión de citas y atención al cliente.</w:t>
      </w:r>
    </w:p>
    <w:p>
      <w:pPr>
        <w:spacing w:after="0" w:before="80"/>
      </w:pPr>
      <w:r>
        <w:t xml:space="preserve"/>
      </w:r>
    </w:p>
    <w:p>
      <w:pPr>
        <w:spacing w:after="120" w:before="80"/>
      </w:pPr>
      <w:r>
        <w:rPr>
          <w:rFonts w:ascii="Calibri" w:cs="Calibri" w:eastAsia="Calibri" w:hAnsi="Calibri"/>
          <w:sz w:val="20"/>
          <w:szCs w:val="20"/>
        </w:rPr>
        <w:t xml:space="preserve">El agente de voz procesa conversaciones en tiempo real utilizando modelos de lenguaje de gran escala (LLM) y síntesis de voz, almacenando los datos de interacción en una base de datos gestionada por un encargado del tratamiento. El sistema opera bajo el dominio centrodemando.es y está diseñado para ser configurado y supervisado por el Responsable del Tratamiento o su personal autorizado.</w:t>
      </w:r>
    </w:p>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3. ACTIVIDADES DE TRATAMIENTO</w:t>
      </w:r>
    </w:p>
    <w:p>
      <w:pPr>
        <w:pStyle w:val="Heading2"/>
        <w:spacing w:after="160" w:before="300"/>
      </w:pPr>
      <w:r>
        <w:rPr>
          <w:rFonts w:ascii="Calibri" w:cs="Calibri" w:eastAsia="Calibri" w:hAnsi="Calibri"/>
          <w:b/>
          <w:bCs/>
          <w:color w:val="2E74B5"/>
          <w:sz w:val="26"/>
          <w:szCs w:val="26"/>
        </w:rPr>
        <w:t xml:space="preserve">3.1 Atención telefónica automatizada mediante agente de voz</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c>
          <w:tcPr>
            <w:tcW w:type="dxa" w:w="27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Campo</w:t>
            </w:r>
          </w:p>
        </w:tc>
        <w:tc>
          <w:tcPr>
            <w:tcW w:type="dxa" w:w="63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Detalle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Finalidad del tratamiento</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Atender llamadas entrantes y salientes de manera automatizada mediante IA, gestión de consultas, derivación a agente humano y registro de interacciones.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Base jurídica (Art. 6 RGPD)</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Ejecución de un contrato (Art. 6.1.b) / Interés legítimo del responsable (Art. 6.1.f) / Consentimiento del interesado (Art. 6.1.a) según el caso de uso concreto.</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Categorías de interesados</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Clientes, usuarios finales y personas que contactan con el servicio telefónico.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Categorías de datos personales</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Nombre y apellidos, número de teléfono, dirección de correo electrónico, grabaciones de voz de llamadas, transcripciones de conversaciones, datos de la consulta o solicitud realizada, metadatos de llamada (fecha, hora, duración).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Datos especiales (Art. 9 RGPD)</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No se tratan categorías especiales de datos de forma sistemática. En caso de que el usuario los mencione espontáneamente, se aplican medidas adicionales de minimización.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Transferencias internacionales</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SÍ – Ver apartado 5 (Encargados del Tratamiento).</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Plazo de conservación</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Grabaciones de llamadas: máximo 12 meses salvo obligación legal. Datos de contacto: durante la vigencia del servicio + 5 años por obligaciones mercantiles/fiscales.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Medidas de seguridad</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Ver apartado 6 del presente documento.</w:t>
            </w:r>
          </w:p>
        </w:tc>
      </w:tr>
    </w:tbl>
    <w:p>
      <w:pPr>
        <w:spacing w:after="0" w:before="200"/>
      </w:pPr>
      <w:r>
        <w:t xml:space="preserve"/>
      </w:r>
    </w:p>
    <w:p>
      <w:pPr>
        <w:pStyle w:val="Heading2"/>
        <w:spacing w:after="160" w:before="300"/>
      </w:pPr>
      <w:r>
        <w:rPr>
          <w:rFonts w:ascii="Calibri" w:cs="Calibri" w:eastAsia="Calibri" w:hAnsi="Calibri"/>
          <w:b/>
          <w:bCs/>
          <w:color w:val="2E74B5"/>
          <w:sz w:val="26"/>
          <w:szCs w:val="26"/>
        </w:rPr>
        <w:t xml:space="preserve">3.2 Gestión y almacenamiento de datos de clientes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c>
          <w:tcPr>
            <w:tcW w:type="dxa" w:w="27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Campo</w:t>
            </w:r>
          </w:p>
        </w:tc>
        <w:tc>
          <w:tcPr>
            <w:tcW w:type="dxa" w:w="63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Detalle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Finalidad</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Almacenamiento de datos de contacto, historial de interacciones y configuración del servicio.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Base jurídica</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Ejecución de contrato (Art. 6.1.b).</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Categorías de datos</w:t>
            </w:r>
          </w:p>
        </w:tc>
        <w:tc>
          <w:tcPr>
            <w:tcW w:type="dxa" w:w="63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Nombre, teléfono, email, historial de llamadas, preferencias del servicio.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Plazo de conservación</w:t>
            </w:r>
          </w:p>
        </w:tc>
        <w:tc>
          <w:tcPr>
            <w:tcW w:type="dxa" w:w="63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Vigencia del contrato + 5 años por obligaciones legales.</w:t>
            </w:r>
          </w:p>
        </w:tc>
      </w:tr>
    </w:tbl>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4. ARQUITECTURA TÉCNICA DEL SISTEMA</w:t>
      </w:r>
    </w:p>
    <w:p>
      <w:pPr>
        <w:spacing w:after="120" w:before="80"/>
      </w:pPr>
      <w:r>
        <w:rPr>
          <w:rFonts w:ascii="Calibri" w:cs="Calibri" w:eastAsia="Calibri" w:hAnsi="Calibri"/>
          <w:sz w:val="20"/>
          <w:szCs w:val="20"/>
        </w:rPr>
        <w:t xml:space="preserve">El sistema Centro de Mando está compuesto por los siguientes componentes técnicos y proveedores de servicio. Cada proveedor actúa como Encargado del Tratamiento en los términos del Art. 28 RGPD y puede procesar datos personales en el desempeño de sus funciones.</w:t>
      </w:r>
    </w:p>
    <w:p>
      <w:pPr>
        <w:spacing w:after="0" w:before="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07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Componente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Proveedor</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Función</w:t>
            </w:r>
          </w:p>
        </w:tc>
        <w:tc>
          <w:tcPr>
            <w:tcW w:type="dxa" w:w="20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Ubicación de datos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Agente de voz (IA conversacional)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Retell AI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Gestión de conversaciones de voz en tiempo real, síntesis y reconocimiento de voz.</w:t>
            </w:r>
          </w:p>
        </w:tc>
        <w:tc>
          <w:tcPr>
            <w:tcW w:type="dxa" w:w="2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EE.UU. (servidores Retell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Modelo de lenguaje (LLM)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OpenAI (GPT-4 / GPT-4o)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Procesamiento del lenguaje natural, generación de respuestas inteligentes.</w:t>
            </w:r>
          </w:p>
        </w:tc>
        <w:tc>
          <w:tcPr>
            <w:tcW w:type="dxa" w:w="20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EE.UU. (servidores OpenAI)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Síntesis de voz (TTS)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ElevenLabs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Generación de voz artificial a partir de texto (text-to-speech).</w:t>
            </w:r>
          </w:p>
        </w:tc>
        <w:tc>
          <w:tcPr>
            <w:tcW w:type="dxa" w:w="2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EE.UU. (servidores ElevenLabs)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Base de datos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Supabase (PostgreSQL)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Almacenamiento de datos de clientes, grabaciones e historial de interacciones.</w:t>
            </w:r>
          </w:p>
        </w:tc>
        <w:tc>
          <w:tcPr>
            <w:tcW w:type="dxa" w:w="20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UE (región eu-west según configuración) o EE.UU. según plan contratado.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Automatizaciones y flujos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n8n (cloud)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Orquestación de flujos de trabajo e integraciones entre servicios.</w:t>
            </w:r>
          </w:p>
        </w:tc>
        <w:tc>
          <w:tcPr>
            <w:tcW w:type="dxa" w:w="2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UE / EE.UU. según instancia contratada.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Telefonía / SIP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Netelip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Proveedor de telefonía VoIP, gestión de líneas SIP, enrutamiento de llamadas.</w:t>
            </w:r>
          </w:p>
        </w:tc>
        <w:tc>
          <w:tcPr>
            <w:tcW w:type="dxa" w:w="20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España (proveedor español, servidores en 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Infraestructura / Hosting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Hostinger (plan compartido)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Alojamiento web del sistema y panel de configuración.</w:t>
            </w:r>
          </w:p>
        </w:tc>
        <w:tc>
          <w:tcPr>
            <w:tcW w:type="dxa" w:w="2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UE (servidores Hostinger, Lituania).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DNS y dominio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centrodemando.es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Resolución de dominio y enrutamiento web.</w:t>
            </w:r>
          </w:p>
        </w:tc>
        <w:tc>
          <w:tcPr>
            <w:tcW w:type="dxa" w:w="20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Según registrador de dominio.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Frontend / Plataforma web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Next.js (Vercel o Hostinger)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Interfaz de usuario del sistema Centro de Mando.</w:t>
            </w:r>
          </w:p>
        </w:tc>
        <w:tc>
          <w:tcPr>
            <w:tcW w:type="dxa" w:w="2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UE / EE.UU. según despliegue configurado.</w:t>
            </w:r>
          </w:p>
        </w:tc>
      </w:tr>
    </w:tbl>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5. ENCARGADOS DEL TRATAMIENTO</w:t>
      </w:r>
    </w:p>
    <w:p>
      <w:pPr>
        <w:spacing w:after="120" w:before="80"/>
      </w:pPr>
      <w:r>
        <w:rPr>
          <w:rFonts w:ascii="Calibri" w:cs="Calibri" w:eastAsia="Calibri" w:hAnsi="Calibri"/>
          <w:sz w:val="20"/>
          <w:szCs w:val="20"/>
        </w:rPr>
        <w:t xml:space="preserve">De conformidad con el Art. 28 RGPD, el Responsable ha suscrito o deberá suscribir los correspondientes contratos de encargado del tratamiento (DPA – Data Processing Agreement) con cada uno de los proveedores listados a continuación. Dichos contratos garantizan que los encargados tratan los datos únicamente siguiendo instrucciones del Responsable y con las garantías de seguridad adecuadas.</w:t>
      </w:r>
    </w:p>
    <w:p>
      <w:pPr>
        <w:spacing w:after="0" w:before="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1800"/>
        <w:gridCol w:w="2270"/>
      </w:tblGrid>
      <w:tr>
        <w:tc>
          <w:tcPr>
            <w:tcW w:type="dxa" w:w="17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Proveedor</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País sede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Transf. Internacional</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DPA disponible</w:t>
            </w:r>
          </w:p>
        </w:tc>
        <w:tc>
          <w:tcPr>
            <w:tcW w:type="dxa" w:w="22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Garantías adecuadas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Retell AI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EE.UU.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Sí (web)</w:t>
            </w:r>
          </w:p>
        </w:tc>
        <w:tc>
          <w:tcPr>
            <w:tcW w:type="dxa" w:w="22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Cláusulas Contractuales Tipo (SCCs)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OpenAI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EE.UU.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Sí (web)</w:t>
            </w:r>
          </w:p>
        </w:tc>
        <w:tc>
          <w:tcPr>
            <w:tcW w:type="dxa" w:w="22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SCCs + Data Privacy Framework</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ElevenLabs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EE.UU.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Sí (web)</w:t>
            </w:r>
          </w:p>
        </w:tc>
        <w:tc>
          <w:tcPr>
            <w:tcW w:type="dxa" w:w="22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Cláusulas Contractuales Tipo (SCCs)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Supabase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EE.UU.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Condicional*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22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SCCs / Región UE disponible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n8n (cloud)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Alemania / EE.UU.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Condicional*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22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SCCs / Instancia europea disponible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Netelip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España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22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 aplica (proveedor UE)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Hostinger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Lituania (UE)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22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No aplica (proveedor UE)</w:t>
            </w:r>
          </w:p>
        </w:tc>
      </w:tr>
    </w:tbl>
    <w:p>
      <w:pPr>
        <w:spacing w:after="0" w:before="80"/>
      </w:pPr>
      <w:r>
        <w:t xml:space="preserve"/>
      </w:r>
    </w:p>
    <w:p>
      <w:pPr>
        <w:spacing w:after="120" w:before="80"/>
      </w:pPr>
      <w:r>
        <w:rPr>
          <w:rFonts w:ascii="Calibri" w:cs="Calibri" w:eastAsia="Calibri" w:hAnsi="Calibri"/>
          <w:sz w:val="20"/>
          <w:szCs w:val="20"/>
        </w:rPr>
        <w:t xml:space="preserve">* Condicional: la transferencia internacional se produce únicamente si se selecciona una región de servidores fuera de la UE. Se recomienda configurar siempre la región europea (eu-west).</w:t>
      </w:r>
    </w:p>
    <w:p>
      <w:pPr>
        <w:spacing w:after="0" w:before="160"/>
      </w:pPr>
      <w:r>
        <w:t xml:space="preserve"/>
      </w:r>
    </w:p>
    <w:p>
      <w:pPr>
        <w:pBdr>
          <w:top w:val="single" w:color="D6B656" w:sz="6"/>
          <w:bottom w:val="single" w:color="D6B656" w:sz="6"/>
          <w:left w:val="single" w:color="D6B656" w:sz="12"/>
          <w:right w:val="single" w:color="D6B656" w:sz="6"/>
        </w:pBdr>
        <w:shd w:fill="FFF2CC" w:val="clear"/>
        <w:spacing w:after="160" w:before="160"/>
        <w:ind w:left="200" w:right="200"/>
      </w:pPr>
      <w:r>
        <w:rPr>
          <w:rFonts w:ascii="Calibri" w:cs="Calibri" w:eastAsia="Calibri" w:hAnsi="Calibri"/>
          <w:b/>
          <w:bCs/>
          <w:sz w:val="20"/>
          <w:szCs w:val="20"/>
        </w:rPr>
        <w:t xml:space="preserve">⚠  IMPORTANTE: El responsable debe verificar que tiene firmados los DPAs vigentes con cada encargado antes de poner el sistema en producción. Las transferencias internacionales a EE.UU. deben estar amparadas por las garantías del Art. 46 RGPD (Cláusulas Contractuales Tipo u otra garantía adecuada).</w:t>
      </w:r>
    </w:p>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6. MEDIDAS DE SEGURIDAD TÉCNICAS Y ORGANIZATIVAS (Art. 32 RGPD)</w:t>
      </w:r>
    </w:p>
    <w:p>
      <w:pPr>
        <w:spacing w:after="120" w:before="80"/>
      </w:pPr>
      <w:r>
        <w:rPr>
          <w:rFonts w:ascii="Calibri" w:cs="Calibri" w:eastAsia="Calibri" w:hAnsi="Calibri"/>
          <w:sz w:val="20"/>
          <w:szCs w:val="20"/>
        </w:rPr>
        <w:t xml:space="preserve">De conformidad con el Art. 32 del RGPD, el Responsable y los Encargados del Tratamiento han implantado las siguientes medidas técnicas y organizativas para garantizar un nivel de seguridad adecuado al riesgo.</w:t>
      </w:r>
    </w:p>
    <w:p>
      <w:pPr>
        <w:spacing w:after="0" w:before="120"/>
      </w:pPr>
      <w:r>
        <w:t xml:space="preserve"/>
      </w:r>
    </w:p>
    <w:p>
      <w:pPr>
        <w:pStyle w:val="Heading2"/>
        <w:spacing w:after="160" w:before="300"/>
      </w:pPr>
      <w:r>
        <w:rPr>
          <w:rFonts w:ascii="Calibri" w:cs="Calibri" w:eastAsia="Calibri" w:hAnsi="Calibri"/>
          <w:b/>
          <w:bCs/>
          <w:color w:val="2E74B5"/>
          <w:sz w:val="26"/>
          <w:szCs w:val="26"/>
        </w:rPr>
        <w:t xml:space="preserve">6.1 Medidas Técnicas</w:t>
      </w:r>
    </w:p>
    <w:p>
      <w:pPr>
        <w:pStyle w:val="ListParagraph"/>
        <w:numPr>
          <w:ilvl w:val="0"/>
          <w:numId w:val="2"/>
        </w:numPr>
        <w:spacing w:after="60" w:before="60"/>
      </w:pPr>
      <w:r>
        <w:rPr>
          <w:rFonts w:ascii="Calibri" w:cs="Calibri" w:eastAsia="Calibri" w:hAnsi="Calibri"/>
          <w:sz w:val="20"/>
          <w:szCs w:val="20"/>
        </w:rPr>
        <w:t xml:space="preserve">Comunicaciones cifradas mediante TLS/HTTPS en todas las transmisiones de datos.</w:t>
      </w:r>
    </w:p>
    <w:p>
      <w:pPr>
        <w:pStyle w:val="ListParagraph"/>
        <w:numPr>
          <w:ilvl w:val="0"/>
          <w:numId w:val="2"/>
        </w:numPr>
        <w:spacing w:after="60" w:before="60"/>
      </w:pPr>
      <w:r>
        <w:rPr>
          <w:rFonts w:ascii="Calibri" w:cs="Calibri" w:eastAsia="Calibri" w:hAnsi="Calibri"/>
          <w:sz w:val="20"/>
          <w:szCs w:val="20"/>
        </w:rPr>
        <w:t xml:space="preserve">Autenticación mediante credenciales exclusivas (login y contraseña) por cliente, con acceso personalizado.</w:t>
      </w:r>
    </w:p>
    <w:p>
      <w:pPr>
        <w:pStyle w:val="ListParagraph"/>
        <w:numPr>
          <w:ilvl w:val="0"/>
          <w:numId w:val="2"/>
        </w:numPr>
        <w:spacing w:after="60" w:before="60"/>
      </w:pPr>
      <w:r>
        <w:rPr>
          <w:rFonts w:ascii="Calibri" w:cs="Calibri" w:eastAsia="Calibri" w:hAnsi="Calibri"/>
          <w:sz w:val="20"/>
          <w:szCs w:val="20"/>
        </w:rPr>
        <w:t xml:space="preserve">Acceso a datos restringido a personal autorizado mediante control de roles y permisos.</w:t>
      </w:r>
    </w:p>
    <w:p>
      <w:pPr>
        <w:pStyle w:val="ListParagraph"/>
        <w:numPr>
          <w:ilvl w:val="0"/>
          <w:numId w:val="2"/>
        </w:numPr>
        <w:spacing w:after="60" w:before="60"/>
      </w:pPr>
      <w:r>
        <w:rPr>
          <w:rFonts w:ascii="Calibri" w:cs="Calibri" w:eastAsia="Calibri" w:hAnsi="Calibri"/>
          <w:sz w:val="20"/>
          <w:szCs w:val="20"/>
        </w:rPr>
        <w:t xml:space="preserve">Cifrado en reposo de la base de datos (Supabase aplica cifrado AES-256 por defecto).</w:t>
      </w:r>
    </w:p>
    <w:p>
      <w:pPr>
        <w:pStyle w:val="ListParagraph"/>
        <w:numPr>
          <w:ilvl w:val="0"/>
          <w:numId w:val="2"/>
        </w:numPr>
        <w:spacing w:after="60" w:before="60"/>
      </w:pPr>
      <w:r>
        <w:rPr>
          <w:rFonts w:ascii="Calibri" w:cs="Calibri" w:eastAsia="Calibri" w:hAnsi="Calibri"/>
          <w:sz w:val="20"/>
          <w:szCs w:val="20"/>
        </w:rPr>
        <w:t xml:space="preserve">Registros de acceso y auditoría (logs) para detección de accesos no autorizados.</w:t>
      </w:r>
    </w:p>
    <w:p>
      <w:pPr>
        <w:pStyle w:val="ListParagraph"/>
        <w:numPr>
          <w:ilvl w:val="0"/>
          <w:numId w:val="2"/>
        </w:numPr>
        <w:spacing w:after="60" w:before="60"/>
      </w:pPr>
      <w:r>
        <w:rPr>
          <w:rFonts w:ascii="Calibri" w:cs="Calibri" w:eastAsia="Calibri" w:hAnsi="Calibri"/>
          <w:sz w:val="20"/>
          <w:szCs w:val="20"/>
        </w:rPr>
        <w:t xml:space="preserve">Uso de variables de entorno y gestión segura de claves API (sin exposición en código fuente ni repositorios públicos).</w:t>
      </w:r>
    </w:p>
    <w:p>
      <w:pPr>
        <w:pStyle w:val="ListParagraph"/>
        <w:numPr>
          <w:ilvl w:val="0"/>
          <w:numId w:val="2"/>
        </w:numPr>
        <w:spacing w:after="60" w:before="60"/>
      </w:pPr>
      <w:r>
        <w:rPr>
          <w:rFonts w:ascii="Calibri" w:cs="Calibri" w:eastAsia="Calibri" w:hAnsi="Calibri"/>
          <w:sz w:val="20"/>
          <w:szCs w:val="20"/>
        </w:rPr>
        <w:t xml:space="preserve">Copias de seguridad periódicas de la base de datos con restauración verificada.</w:t>
      </w:r>
    </w:p>
    <w:p>
      <w:pPr>
        <w:spacing w:after="0" w:before="120"/>
      </w:pPr>
      <w:r>
        <w:t xml:space="preserve"/>
      </w:r>
    </w:p>
    <w:p>
      <w:pPr>
        <w:pStyle w:val="Heading2"/>
        <w:spacing w:after="160" w:before="300"/>
      </w:pPr>
      <w:r>
        <w:rPr>
          <w:rFonts w:ascii="Calibri" w:cs="Calibri" w:eastAsia="Calibri" w:hAnsi="Calibri"/>
          <w:b/>
          <w:bCs/>
          <w:color w:val="2E74B5"/>
          <w:sz w:val="26"/>
          <w:szCs w:val="26"/>
        </w:rPr>
        <w:t xml:space="preserve">6.2 Medidas Organizativas</w:t>
      </w:r>
    </w:p>
    <w:p>
      <w:pPr>
        <w:pStyle w:val="ListParagraph"/>
        <w:numPr>
          <w:ilvl w:val="0"/>
          <w:numId w:val="2"/>
        </w:numPr>
        <w:spacing w:after="60" w:before="60"/>
      </w:pPr>
      <w:r>
        <w:rPr>
          <w:rFonts w:ascii="Calibri" w:cs="Calibri" w:eastAsia="Calibri" w:hAnsi="Calibri"/>
          <w:sz w:val="20"/>
          <w:szCs w:val="20"/>
        </w:rPr>
        <w:t xml:space="preserve">Suscripción de contratos de encargado del tratamiento (DPA) con todos los proveedores tecnológicos.</w:t>
      </w:r>
    </w:p>
    <w:p>
      <w:pPr>
        <w:pStyle w:val="ListParagraph"/>
        <w:numPr>
          <w:ilvl w:val="0"/>
          <w:numId w:val="2"/>
        </w:numPr>
        <w:spacing w:after="60" w:before="60"/>
      </w:pPr>
      <w:r>
        <w:rPr>
          <w:rFonts w:ascii="Calibri" w:cs="Calibri" w:eastAsia="Calibri" w:hAnsi="Calibri"/>
          <w:sz w:val="20"/>
          <w:szCs w:val="20"/>
        </w:rPr>
        <w:t xml:space="preserve">Política de acceso mínimo necesario (principio de minimización) aplicada al personal interno.</w:t>
      </w:r>
    </w:p>
    <w:p>
      <w:pPr>
        <w:pStyle w:val="ListParagraph"/>
        <w:numPr>
          <w:ilvl w:val="0"/>
          <w:numId w:val="2"/>
        </w:numPr>
        <w:spacing w:after="60" w:before="60"/>
      </w:pPr>
      <w:r>
        <w:rPr>
          <w:rFonts w:ascii="Calibri" w:cs="Calibri" w:eastAsia="Calibri" w:hAnsi="Calibri"/>
          <w:sz w:val="20"/>
          <w:szCs w:val="20"/>
        </w:rPr>
        <w:t xml:space="preserve">Formación del personal en protección de datos y ciberseguridad.</w:t>
      </w:r>
    </w:p>
    <w:p>
      <w:pPr>
        <w:pStyle w:val="ListParagraph"/>
        <w:numPr>
          <w:ilvl w:val="0"/>
          <w:numId w:val="2"/>
        </w:numPr>
        <w:spacing w:after="60" w:before="60"/>
      </w:pPr>
      <w:r>
        <w:rPr>
          <w:rFonts w:ascii="Calibri" w:cs="Calibri" w:eastAsia="Calibri" w:hAnsi="Calibri"/>
          <w:sz w:val="20"/>
          <w:szCs w:val="20"/>
        </w:rPr>
        <w:t xml:space="preserve">Procedimiento de notificación de brechas de seguridad a la AEPD en un plazo máximo de 72 horas desde su detección (Art. 33 RGPD).</w:t>
      </w:r>
    </w:p>
    <w:p>
      <w:pPr>
        <w:pStyle w:val="ListParagraph"/>
        <w:numPr>
          <w:ilvl w:val="0"/>
          <w:numId w:val="2"/>
        </w:numPr>
        <w:spacing w:after="60" w:before="60"/>
      </w:pPr>
      <w:r>
        <w:rPr>
          <w:rFonts w:ascii="Calibri" w:cs="Calibri" w:eastAsia="Calibri" w:hAnsi="Calibri"/>
          <w:sz w:val="20"/>
          <w:szCs w:val="20"/>
        </w:rPr>
        <w:t xml:space="preserve">Política de retención y eliminación segura de datos al vencimiento de los plazos establecidos.</w:t>
      </w:r>
    </w:p>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7. DERECHOS DE LOS INTERESADOS</w:t>
      </w:r>
    </w:p>
    <w:p>
      <w:pPr>
        <w:spacing w:after="120" w:before="80"/>
      </w:pPr>
      <w:r>
        <w:rPr>
          <w:rFonts w:ascii="Calibri" w:cs="Calibri" w:eastAsia="Calibri" w:hAnsi="Calibri"/>
          <w:sz w:val="20"/>
          <w:szCs w:val="20"/>
        </w:rPr>
        <w:t xml:space="preserve">Los interesados cuyos datos son tratados mediante el sistema Centro de Mando pueden ejercer los derechos reconocidos por el RGPD ante el Responsable del Tratamiento. Las solicitudes deberán enviarse al email de contacto indicado en el apartado 1, acreditando la identidad del solicitante.</w:t>
      </w:r>
    </w:p>
    <w:p>
      <w:pPr>
        <w:spacing w:after="0" w:before="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7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Derecho</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Base legal</w:t>
            </w:r>
          </w:p>
        </w:tc>
        <w:tc>
          <w:tcPr>
            <w:tcW w:type="dxa" w:w="50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Procedimiento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Acceso (Art. 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RGPD Art. 15</w:t>
            </w:r>
          </w:p>
        </w:tc>
        <w:tc>
          <w:tcPr>
            <w:tcW w:type="dxa" w:w="5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Solicitud por email al responsable. Plazo de respuesta: 1 mes (prorrogable 2 meses adicionales).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Rectificación (Art.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RGPD Art. 16</w:t>
            </w:r>
          </w:p>
        </w:tc>
        <w:tc>
          <w:tcPr>
            <w:tcW w:type="dxa" w:w="50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Solicitud por email indicando los datos inexactos y los correctos. Plazo: 1 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Supresión / "Derecho al olvido" (Art. 17)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RGPD Art. 17</w:t>
            </w:r>
          </w:p>
        </w:tc>
        <w:tc>
          <w:tcPr>
            <w:tcW w:type="dxa" w:w="5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Solicitud por email. Plazo: 1 mes. Aplica salvo obligación legal de conservación.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Limitación del tratamiento (Art.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RGPD Art. 18</w:t>
            </w:r>
          </w:p>
        </w:tc>
        <w:tc>
          <w:tcPr>
            <w:tcW w:type="dxa" w:w="50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Solicitud por email. Plazo: 1 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Portabilidad (Art. 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RGPD Art. 20</w:t>
            </w:r>
          </w:p>
        </w:tc>
        <w:tc>
          <w:tcPr>
            <w:tcW w:type="dxa" w:w="5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Solicitud por email. Los datos se entregarán en formato CSV o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Oposición (Art. 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RGPD Art. 21</w:t>
            </w:r>
          </w:p>
        </w:tc>
        <w:tc>
          <w:tcPr>
            <w:tcW w:type="dxa" w:w="50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Solicitud por email. Plazo: 1 mes. Aplica cuando la base jurídica es interés legítimo.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No decisiones automatizadas (Art. 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RGPD Art. 22</w:t>
            </w:r>
          </w:p>
        </w:tc>
        <w:tc>
          <w:tcPr>
            <w:tcW w:type="dxa" w:w="50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Aplica si se toman decisiones con efectos jurídicos o significativos de forma automatizada.</w:t>
            </w:r>
          </w:p>
        </w:tc>
      </w:tr>
    </w:tbl>
    <w:p>
      <w:pPr>
        <w:spacing w:after="0" w:before="120"/>
      </w:pPr>
      <w:r>
        <w:t xml:space="preserve"/>
      </w:r>
    </w:p>
    <w:p>
      <w:pPr>
        <w:spacing w:after="120" w:before="80"/>
      </w:pPr>
      <w:r>
        <w:rPr>
          <w:rFonts w:ascii="Calibri" w:cs="Calibri" w:eastAsia="Calibri" w:hAnsi="Calibri"/>
          <w:sz w:val="20"/>
          <w:szCs w:val="20"/>
        </w:rPr>
        <w:t xml:space="preserve">En caso de no obtener respuesta satisfactoria por parte del Responsable, el interesado tiene derecho a presentar una reclamación ante la Agencia Española de Protección de Datos (AEPD): www.aepd.es</w:t>
      </w:r>
    </w:p>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8. GRABACIONES DE VOZ – CONSIDERACIONES ESPECÍFICAS</w:t>
      </w:r>
    </w:p>
    <w:p>
      <w:pPr>
        <w:spacing w:after="120" w:before="80"/>
      </w:pPr>
      <w:r>
        <w:rPr>
          <w:rFonts w:ascii="Calibri" w:cs="Calibri" w:eastAsia="Calibri" w:hAnsi="Calibri"/>
          <w:sz w:val="20"/>
          <w:szCs w:val="20"/>
        </w:rPr>
        <w:t xml:space="preserve">Las grabaciones de llamadas constituyen un tipo de dato personal de carácter especialmente sensible, al tratarse de datos biométricos de voz. Su tratamiento requiere atención particular desde la perspectiva de la protección de datos.</w:t>
      </w:r>
    </w:p>
    <w:p>
      <w:pPr>
        <w:spacing w:after="0" w:before="80"/>
      </w:pPr>
      <w:r>
        <w:t xml:space="preserve"/>
      </w:r>
    </w:p>
    <w:p>
      <w:pPr>
        <w:pStyle w:val="ListParagraph"/>
        <w:numPr>
          <w:ilvl w:val="0"/>
          <w:numId w:val="2"/>
        </w:numPr>
        <w:spacing w:after="60" w:before="60"/>
      </w:pPr>
      <w:r>
        <w:rPr>
          <w:rFonts w:ascii="Calibri" w:cs="Calibri" w:eastAsia="Calibri" w:hAnsi="Calibri"/>
          <w:sz w:val="20"/>
          <w:szCs w:val="20"/>
        </w:rPr>
        <w:t xml:space="preserve">[A completar] Las llamadas telefónicas son grabadas con la finalidad de: calidad del servicio / resolución de disputas / mejora del sistema de IA – el Responsable debe especificar la finalidad exacta y asegurarse de que la base jurídica es adecuada.</w:t>
      </w:r>
    </w:p>
    <w:p>
      <w:pPr>
        <w:pStyle w:val="ListParagraph"/>
        <w:numPr>
          <w:ilvl w:val="0"/>
          <w:numId w:val="2"/>
        </w:numPr>
        <w:spacing w:after="60" w:before="60"/>
      </w:pPr>
      <w:r>
        <w:rPr>
          <w:rFonts w:ascii="Calibri" w:cs="Calibri" w:eastAsia="Calibri" w:hAnsi="Calibri"/>
          <w:sz w:val="20"/>
          <w:szCs w:val="20"/>
        </w:rPr>
        <w:t xml:space="preserve">Los interesados deben ser informados del inicio de la grabación mediante locución automática al comienzo de la llamada: "Esta llamada puede ser grabada con fines de [finalidad]. Si no desea ser grabado, puede indicarlo ahora."</w:t>
      </w:r>
    </w:p>
    <w:p>
      <w:pPr>
        <w:pStyle w:val="ListParagraph"/>
        <w:numPr>
          <w:ilvl w:val="0"/>
          <w:numId w:val="2"/>
        </w:numPr>
        <w:spacing w:after="60" w:before="60"/>
      </w:pPr>
      <w:r>
        <w:rPr>
          <w:rFonts w:ascii="Calibri" w:cs="Calibri" w:eastAsia="Calibri" w:hAnsi="Calibri"/>
          <w:sz w:val="20"/>
          <w:szCs w:val="20"/>
        </w:rPr>
        <w:t xml:space="preserve">Las grabaciones se almacenan en los sistemas de Supabase y/o Retell AI, ambos encargados del tratamiento con DPA suscrito.</w:t>
      </w:r>
    </w:p>
    <w:p>
      <w:pPr>
        <w:pStyle w:val="ListParagraph"/>
        <w:numPr>
          <w:ilvl w:val="0"/>
          <w:numId w:val="2"/>
        </w:numPr>
        <w:spacing w:after="60" w:before="60"/>
      </w:pPr>
      <w:r>
        <w:rPr>
          <w:rFonts w:ascii="Calibri" w:cs="Calibri" w:eastAsia="Calibri" w:hAnsi="Calibri"/>
          <w:sz w:val="20"/>
          <w:szCs w:val="20"/>
        </w:rPr>
        <w:t xml:space="preserve">Plazo de conservación: máximo 12 meses desde la fecha de la grabación, salvo que una obligación legal exija un período superior.</w:t>
      </w:r>
    </w:p>
    <w:p>
      <w:pPr>
        <w:pStyle w:val="ListParagraph"/>
        <w:numPr>
          <w:ilvl w:val="0"/>
          <w:numId w:val="2"/>
        </w:numPr>
        <w:spacing w:after="60" w:before="60"/>
      </w:pPr>
      <w:r>
        <w:rPr>
          <w:rFonts w:ascii="Calibri" w:cs="Calibri" w:eastAsia="Calibri" w:hAnsi="Calibri"/>
          <w:sz w:val="20"/>
          <w:szCs w:val="20"/>
        </w:rPr>
        <w:t xml:space="preserve">El acceso a las grabaciones está restringido al personal autorizado del cliente mediante credenciales de acceso exclusivas.</w:t>
      </w:r>
    </w:p>
    <w:p>
      <w:pPr>
        <w:pStyle w:val="ListParagraph"/>
        <w:numPr>
          <w:ilvl w:val="0"/>
          <w:numId w:val="2"/>
        </w:numPr>
        <w:spacing w:after="60" w:before="60"/>
      </w:pPr>
      <w:r>
        <w:rPr>
          <w:rFonts w:ascii="Calibri" w:cs="Calibri" w:eastAsia="Calibri" w:hAnsi="Calibri"/>
          <w:sz w:val="20"/>
          <w:szCs w:val="20"/>
        </w:rPr>
        <w:t xml:space="preserve">Las grabaciones no se utilizan para entrenar modelos de IA de terceros sin el consentimiento explícito del Responsable y los interesados, salvo que los términos del proveedor lo permitan expresamente.</w:t>
      </w:r>
    </w:p>
    <w:p>
      <w:pPr>
        <w:spacing w:after="0" w:before="120"/>
      </w:pPr>
      <w:r>
        <w:t xml:space="preserve"/>
      </w:r>
    </w:p>
    <w:p>
      <w:pPr>
        <w:pBdr>
          <w:top w:val="single" w:color="D6B656" w:sz="6"/>
          <w:bottom w:val="single" w:color="D6B656" w:sz="6"/>
          <w:left w:val="single" w:color="D6B656" w:sz="12"/>
          <w:right w:val="single" w:color="D6B656" w:sz="6"/>
        </w:pBdr>
        <w:shd w:fill="FFF2CC" w:val="clear"/>
        <w:spacing w:after="160" w:before="160"/>
        <w:ind w:left="200" w:right="200"/>
      </w:pPr>
      <w:r>
        <w:rPr>
          <w:rFonts w:ascii="Calibri" w:cs="Calibri" w:eastAsia="Calibri" w:hAnsi="Calibri"/>
          <w:b/>
          <w:bCs/>
          <w:sz w:val="20"/>
          <w:szCs w:val="20"/>
        </w:rPr>
        <w:t xml:space="preserve">⚠  AVISO: Si las grabaciones de voz se utilizan para mejorar o entrenar modelos de inteligencia artificial, esta finalidad debe comunicarse a los interesados y contar con base jurídica adecuada (generalmente consentimiento explícito, Art. 6.1.a RGPD).</w:t>
      </w:r>
    </w:p>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9. EVALUACIÓN DE IMPACTO RELATIVA A LA PROTECCIÓN DE DATOS (EIPD / DPIA)</w:t>
      </w:r>
    </w:p>
    <w:p>
      <w:pPr>
        <w:spacing w:after="120" w:before="80"/>
      </w:pPr>
      <w:r>
        <w:rPr>
          <w:rFonts w:ascii="Calibri" w:cs="Calibri" w:eastAsia="Calibri" w:hAnsi="Calibri"/>
          <w:sz w:val="20"/>
          <w:szCs w:val="20"/>
        </w:rPr>
        <w:t xml:space="preserve">Conforme al Art. 35 RGPD, se debe valorar si el tratamiento requiere una Evaluación de Impacto relativa a la Protección de Datos (EIPD o DPIA, por sus siglas en inglés). A continuación se analizan los factores de riesgo aplicables al sistema Centro de Mando.</w:t>
      </w:r>
    </w:p>
    <w:p>
      <w:pPr>
        <w:spacing w:after="0" w:before="1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7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Factor de riesgo</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¿Aplica?</w:t>
            </w:r>
          </w:p>
        </w:tc>
        <w:tc>
          <w:tcPr>
            <w:tcW w:type="dxa" w:w="47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Observación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Tratamiento a gran escala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A evaluar</w:t>
            </w:r>
          </w:p>
        </w:tc>
        <w:tc>
          <w:tcPr>
            <w:tcW w:type="dxa" w:w="47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Depende del volumen de llamadas procesadas mensualmente.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Decisiones automatizadas con efectos significativos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 evaluar</w:t>
            </w:r>
          </w:p>
        </w:tc>
        <w:tc>
          <w:tcPr>
            <w:tcW w:type="dxa" w:w="47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El agente de voz puede derivar o rechazar llamadas de forma automatizada.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Datos de categorías especiales (Art. 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No sistemáticamente</w:t>
            </w:r>
          </w:p>
        </w:tc>
        <w:tc>
          <w:tcPr>
            <w:tcW w:type="dxa" w:w="47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Posible mención espontánea de datos sensibles por parte de usuarios.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Vigilancia sistemática de personas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 evaluar</w:t>
            </w:r>
          </w:p>
        </w:tc>
        <w:tc>
          <w:tcPr>
            <w:tcW w:type="dxa" w:w="47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La grabación sistemática de llamadas puede constituir vigilancia.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bCs/>
                <w:sz w:val="20"/>
                <w:szCs w:val="20"/>
              </w:rPr>
              <w:t xml:space="preserve">Uso de nuevas tecnologías (IA / LLM)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SÍ</w:t>
            </w:r>
          </w:p>
        </w:tc>
        <w:tc>
          <w:tcPr>
            <w:tcW w:type="dxa" w:w="477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alibri" w:cs="Calibri" w:eastAsia="Calibri" w:hAnsi="Calibri"/>
                <w:b w:val="false"/>
                <w:bCs w:val="false"/>
                <w:sz w:val="20"/>
                <w:szCs w:val="20"/>
              </w:rPr>
              <w:t xml:space="preserve">Uso de modelos de lenguaje, síntesis de voz y reconocimiento automático del habla.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Combinación de datos de múltiples fuentes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 evaluar</w:t>
            </w:r>
          </w:p>
        </w:tc>
        <w:tc>
          <w:tcPr>
            <w:tcW w:type="dxa" w:w="47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Integración de datos de telefonía, IA y base de datos.</w:t>
            </w:r>
          </w:p>
        </w:tc>
      </w:tr>
    </w:tbl>
    <w:p>
      <w:pPr>
        <w:spacing w:after="0" w:before="120"/>
      </w:pPr>
      <w:r>
        <w:t xml:space="preserve"/>
      </w:r>
    </w:p>
    <w:p>
      <w:pPr>
        <w:pBdr>
          <w:top w:val="single" w:color="D6B656" w:sz="6"/>
          <w:bottom w:val="single" w:color="D6B656" w:sz="6"/>
          <w:left w:val="single" w:color="D6B656" w:sz="12"/>
          <w:right w:val="single" w:color="D6B656" w:sz="6"/>
        </w:pBdr>
        <w:shd w:fill="FFF2CC" w:val="clear"/>
        <w:spacing w:after="160" w:before="160"/>
        <w:ind w:left="200" w:right="200"/>
      </w:pPr>
      <w:r>
        <w:rPr>
          <w:rFonts w:ascii="Calibri" w:cs="Calibri" w:eastAsia="Calibri" w:hAnsi="Calibri"/>
          <w:b/>
          <w:bCs/>
          <w:sz w:val="20"/>
          <w:szCs w:val="20"/>
        </w:rPr>
        <w:t xml:space="preserve">RECOMENDACIÓN: Se recomienda realizar una EIPD completa si el sistema procesa más de 5.000 llamadas mensuales, si se toman decisiones automatizadas con efectos jurídicos sobre los interesados, o si se procesan datos de menores o categorías especiales del Art. 9 RGPD.</w:t>
      </w:r>
    </w:p>
    <w:p>
      <w:pPr>
        <w:spacing w:after="0" w:before="160"/>
      </w:pPr>
      <w:r>
        <w:t xml:space="preserve"/>
      </w:r>
    </w:p>
    <w:p>
      <w:pPr>
        <w:pStyle w:val="Heading1"/>
        <w:pBdr>
          <w:bottom w:val="single" w:color="2E74B5" w:sz="6" w:space="4"/>
        </w:pBdr>
        <w:spacing w:after="200" w:before="400"/>
      </w:pPr>
      <w:r>
        <w:rPr>
          <w:rFonts w:ascii="Calibri" w:cs="Calibri" w:eastAsia="Calibri" w:hAnsi="Calibri"/>
          <w:b/>
          <w:bCs/>
          <w:color w:val="1F3864"/>
          <w:sz w:val="32"/>
          <w:szCs w:val="32"/>
        </w:rPr>
        <w:t xml:space="preserve">10. HISTORIAL DE VERSIONES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700"/>
        <w:gridCol w:w="167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Versión</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Fecha</w:t>
            </w:r>
          </w:p>
        </w:tc>
        <w:tc>
          <w:tcPr>
            <w:tcW w:type="dxa" w:w="47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Descripción</w:t>
            </w:r>
          </w:p>
        </w:tc>
        <w:tc>
          <w:tcPr>
            <w:tcW w:type="dxa" w:w="167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Autor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Marzo 2026</w:t>
            </w:r>
          </w:p>
        </w:tc>
        <w:tc>
          <w:tcPr>
            <w:tcW w:type="dxa" w:w="4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Versión inicial del RAT para el sistema Centro de Mando.</w:t>
            </w:r>
          </w:p>
        </w:tc>
        <w:tc>
          <w:tcPr>
            <w:tcW w:type="dxa" w:w="16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 completar]</w:t>
            </w:r>
          </w:p>
        </w:tc>
      </w:tr>
    </w:tbl>
    <w:p>
      <w:pPr>
        <w:spacing w:after="0" w:before="160"/>
      </w:pPr>
      <w:r>
        <w:t xml:space="preserve"/>
      </w:r>
    </w:p>
    <w:p>
      <w:r>
        <w:br w:type="page"/>
      </w:r>
    </w:p>
    <w:p>
      <w:pPr>
        <w:pStyle w:val="Heading1"/>
        <w:pBdr>
          <w:bottom w:val="single" w:color="2E74B5" w:sz="6" w:space="4"/>
        </w:pBdr>
        <w:spacing w:after="200" w:before="400"/>
      </w:pPr>
      <w:r>
        <w:rPr>
          <w:rFonts w:ascii="Calibri" w:cs="Calibri" w:eastAsia="Calibri" w:hAnsi="Calibri"/>
          <w:b/>
          <w:bCs/>
          <w:color w:val="1F3864"/>
          <w:sz w:val="32"/>
          <w:szCs w:val="32"/>
        </w:rPr>
        <w:t xml:space="preserve">ADVERTENCIA LEGAL Y NOTAS FINALES</w:t>
      </w:r>
    </w:p>
    <w:p>
      <w:pPr>
        <w:pBdr>
          <w:top w:val="single" w:color="AAAAAA" w:sz="6"/>
          <w:bottom w:val="single" w:color="AAAAAA" w:sz="6"/>
          <w:left w:val="single" w:color="AAAAAA" w:sz="12"/>
          <w:right w:val="single" w:color="AAAAAA" w:sz="6"/>
        </w:pBdr>
        <w:shd w:fill="F2F2F2" w:val="clear"/>
        <w:spacing w:after="160" w:before="160"/>
        <w:ind w:left="200" w:right="200"/>
      </w:pPr>
      <w:r>
        <w:rPr>
          <w:rFonts w:ascii="Calibri" w:cs="Calibri" w:eastAsia="Calibri" w:hAnsi="Calibri"/>
          <w:b/>
          <w:bCs/>
          <w:sz w:val="20"/>
          <w:szCs w:val="20"/>
        </w:rPr>
        <w:t xml:space="preserve">Este documento debe ser revisado y actualizado ante cualquier cambio en los sistemas, proveedores o finalidades del tratamiento. Se recomienda una revisión anual como mínimo.</w:t>
      </w:r>
    </w:p>
    <w:p>
      <w:pPr>
        <w:spacing w:after="0" w:before="80"/>
      </w:pPr>
      <w:r>
        <w:t xml:space="preserve"/>
      </w:r>
    </w:p>
    <w:p>
      <w:pPr>
        <w:spacing w:after="120" w:before="80"/>
      </w:pPr>
      <w:r>
        <w:rPr>
          <w:rFonts w:ascii="Calibri" w:cs="Calibri" w:eastAsia="Calibri" w:hAnsi="Calibri"/>
          <w:sz w:val="20"/>
          <w:szCs w:val="20"/>
        </w:rPr>
        <w:t xml:space="preserve">Este Registro de Actividades de Tratamiento (RAT) ha sido elaborado de conformidad con el artículo 30 del Reglamento (UE) 2016/679 del Parlamento Europeo y del Consejo, de 27 de abril de 2016 (RGPD), y deberá estar disponible para la Autoridad de Control (AEPD) cuando así lo requiera.</w:t>
      </w:r>
    </w:p>
    <w:p>
      <w:pPr>
        <w:spacing w:after="0" w:before="80"/>
      </w:pPr>
      <w:r>
        <w:t xml:space="preserve"/>
      </w:r>
    </w:p>
    <w:p>
      <w:pPr>
        <w:spacing w:after="120" w:before="80"/>
      </w:pPr>
      <w:r>
        <w:rPr>
          <w:rFonts w:ascii="Calibri" w:cs="Calibri" w:eastAsia="Calibri" w:hAnsi="Calibri"/>
          <w:sz w:val="20"/>
          <w:szCs w:val="20"/>
        </w:rPr>
        <w:t xml:space="preserve">Este RAT no constituye asesoramiento jurídico. Para una implementación completa del cumplimiento normativo en materia de protección de datos personales, el Responsable del Tratamiento debe consultar con un especialista en protección de datos o un Delegado de Protección de Datos (DPD) cualificado.</w:t>
      </w:r>
    </w:p>
    <w:p>
      <w:pPr>
        <w:spacing w:after="0" w:before="80"/>
      </w:pPr>
      <w:r>
        <w:t xml:space="preserve"/>
      </w:r>
    </w:p>
    <w:p>
      <w:pPr>
        <w:spacing w:after="120" w:before="80"/>
      </w:pPr>
      <w:r>
        <w:rPr>
          <w:rFonts w:ascii="Calibri" w:cs="Calibri" w:eastAsia="Calibri" w:hAnsi="Calibri"/>
          <w:sz w:val="20"/>
          <w:szCs w:val="20"/>
        </w:rPr>
        <w:t xml:space="preserve">Referencias normativas:</w:t>
      </w:r>
    </w:p>
    <w:p>
      <w:pPr>
        <w:pStyle w:val="ListParagraph"/>
        <w:numPr>
          <w:ilvl w:val="0"/>
          <w:numId w:val="2"/>
        </w:numPr>
        <w:spacing w:after="60" w:before="60"/>
      </w:pPr>
      <w:r>
        <w:rPr>
          <w:rFonts w:ascii="Calibri" w:cs="Calibri" w:eastAsia="Calibri" w:hAnsi="Calibri"/>
          <w:sz w:val="20"/>
          <w:szCs w:val="20"/>
        </w:rPr>
        <w:t xml:space="preserve">Reglamento (UE) 2016/679 (RGPD) – Protección de datos de carácter personal.</w:t>
      </w:r>
    </w:p>
    <w:p>
      <w:pPr>
        <w:pStyle w:val="ListParagraph"/>
        <w:numPr>
          <w:ilvl w:val="0"/>
          <w:numId w:val="2"/>
        </w:numPr>
        <w:spacing w:after="60" w:before="60"/>
      </w:pPr>
      <w:r>
        <w:rPr>
          <w:rFonts w:ascii="Calibri" w:cs="Calibri" w:eastAsia="Calibri" w:hAnsi="Calibri"/>
          <w:sz w:val="20"/>
          <w:szCs w:val="20"/>
        </w:rPr>
        <w:t xml:space="preserve">Ley Orgánica 3/2018, de 5 de diciembre, de Protección de Datos Personales y garantía de los derechos digitales (LOPDGDD).</w:t>
      </w:r>
    </w:p>
    <w:p>
      <w:pPr>
        <w:pStyle w:val="ListParagraph"/>
        <w:numPr>
          <w:ilvl w:val="0"/>
          <w:numId w:val="2"/>
        </w:numPr>
        <w:spacing w:after="60" w:before="60"/>
      </w:pPr>
      <w:r>
        <w:rPr>
          <w:rFonts w:ascii="Calibri" w:cs="Calibri" w:eastAsia="Calibri" w:hAnsi="Calibri"/>
          <w:sz w:val="20"/>
          <w:szCs w:val="20"/>
        </w:rPr>
        <w:t xml:space="preserve">Directrices del Comité Europeo de Protección de Datos (EDPB) sobre transferencias internacionales.</w:t>
      </w:r>
    </w:p>
    <w:p>
      <w:pPr>
        <w:pStyle w:val="ListParagraph"/>
        <w:numPr>
          <w:ilvl w:val="0"/>
          <w:numId w:val="2"/>
        </w:numPr>
        <w:spacing w:after="60" w:before="60"/>
      </w:pPr>
      <w:r>
        <w:rPr>
          <w:rFonts w:ascii="Calibri" w:cs="Calibri" w:eastAsia="Calibri" w:hAnsi="Calibri"/>
          <w:sz w:val="20"/>
          <w:szCs w:val="20"/>
        </w:rPr>
        <w:t xml:space="preserve">Agencia Española de Protección de Datos (AEPD): www.aepd.es</w:t>
      </w:r>
    </w:p>
    <w:p>
      <w:pPr>
        <w:spacing w:after="0" w:before="160"/>
      </w:pPr>
      <w:r>
        <w:t xml:space="preserve"/>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center"/>
    </w:pPr>
    <w:r>
      <w:rPr>
        <w:rFonts w:ascii="Calibri" w:cs="Calibri" w:eastAsia="Calibri" w:hAnsi="Calibri"/>
        <w:color w:val="666666"/>
        <w:sz w:val="16"/>
        <w:szCs w:val="16"/>
      </w:rPr>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Marzo 2026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Calibri" w:cs="Calibri" w:eastAsia="Calibri" w:hAnsi="Calibri"/>
        <w:color w:val="666666"/>
        <w:sz w:val="16"/>
        <w:szCs w:val="16"/>
      </w:rPr>
      <w:t xml:space="preserve">RAT – Centro de Mando | centrodemando.es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2026-03-10T16:57:02.697Z</dcterms:created>
  <dcterms:modified xsi:type="dcterms:W3CDTF">2026-03-10T16:57:02.704Z</dcterms:modified>
</cp:coreProperties>
</file>

<file path=docProps/custom.xml><?xml version="1.0" encoding="utf-8"?>
<Properties xmlns="http://schemas.openxmlformats.org/officeDocument/2006/custom-properties" xmlns:vt="http://schemas.openxmlformats.org/officeDocument/2006/docPropsVTypes"/>
</file>