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Wayne Kearns</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F</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19277020</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7950601669</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Muscle biopsy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Alpha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FOXP2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15</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Germ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TP53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