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b/>
          <w:color w:val="07343B"/>
          <w:sz w:val="60"/>
        </w:rPr>
        <w:t>From Prompts to Practice Loops</w:t>
      </w:r>
    </w:p>
    <w:p>
      <w:pPr>
        <w:jc w:val="center"/>
      </w:pPr>
      <w:r>
        <w:rPr>
          <w:rFonts w:ascii="Calibri" w:hAnsi="Calibri"/>
          <w:i/>
          <w:color w:val="5A6B6E"/>
          <w:sz w:val="30"/>
        </w:rPr>
        <w:t>A Nursing Guide to AI Workflows</w:t>
      </w:r>
    </w:p>
    <w:p/>
    <w:p/>
    <w:p>
      <w:pPr>
        <w:jc w:val="center"/>
      </w:pPr>
      <w:r>
        <w:rPr>
          <w:rFonts w:ascii="Calibri" w:hAnsi="Calibri"/>
          <w:b/>
          <w:color w:val="026A76"/>
          <w:sz w:val="24"/>
        </w:rPr>
        <w:t>Nursing Citizen Development  ·  Framework by Lincoln Gombedza</w:t>
      </w:r>
    </w:p>
    <w:p>
      <w:r>
        <w:br w:type="page"/>
      </w:r>
    </w:p>
    <w:p>
      <w:pPr>
        <w:pStyle w:val="Heading2"/>
      </w:pPr>
      <w:r>
        <w:t>1. The ceiling of simple prompting</w:t>
      </w:r>
    </w:p>
    <w:p>
      <w:r>
        <w:rPr>
          <w:rFonts w:ascii="Calibri" w:hAnsi="Calibri"/>
          <w:b w:val="0"/>
          <w:i w:val="0"/>
          <w:color w:val="1A1A1A"/>
          <w:sz w:val="22"/>
        </w:rPr>
        <w:t>For many nurses and educators, AI has become a daily assistant. However, most practitioners are still utilising it in the slowest, most manual way possible: typing a single request, waiting for an answer, and then manually correcting it before asking another question. This "one-off" approach is helpful for drafting an email, but it has a definitive ceiling in a professional clinical environment.</w:t>
      </w:r>
    </w:p>
    <w:p>
      <w:r>
        <w:rPr>
          <w:rFonts w:ascii="Calibri" w:hAnsi="Calibri"/>
          <w:b w:val="0"/>
          <w:i w:val="0"/>
          <w:color w:val="1A1A1A"/>
          <w:sz w:val="22"/>
        </w:rPr>
        <w:t>The primary limitation of simple prompting is that the human remains the "engine" while the AI is merely the tool. Much like a manual blood pressure cuff, the tool only functions when you are physically pumping the bulb. For recurring, high-stakes tasks — such as reviewing student placement concerns or preparing clinical supervision notes — this constant manual pushing is inefficient and prone to human fatigue.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504"/>
            <w:shd w:val="clear" w:color="auto" w:fill="E6F2F2"/>
            <w:tcMar>
              <w:top w:w="120" w:type="dxa"/>
              <w:bottom w:w="120" w:type="dxa"/>
              <w:start w:w="160" w:type="dxa"/>
              <w:end w:w="160" w:type="dxa"/>
            </w:tcMar>
          </w:tcPr>
          <w:p>
            <w:pPr>
              <w:spacing w:after="0"/>
            </w:pPr>
            <w:r>
              <w:rPr>
                <w:rFonts w:ascii="Calibri" w:hAnsi="Calibri"/>
                <w:b/>
                <w:i w:val="0"/>
                <w:color w:val="07343B"/>
                <w:sz w:val="22"/>
              </w:rPr>
              <w:t>Key insight — from prompting to design.</w:t>
            </w:r>
            <w:r>
              <w:rPr>
                <w:rFonts w:ascii="Calibri" w:hAnsi="Calibri"/>
                <w:b w:val="0"/>
                <w:i w:val="0"/>
                <w:color w:val="07343B"/>
                <w:sz w:val="22"/>
              </w:rPr>
              <w:t xml:space="preserve"> For a Nursing Citizen Developer, the goal isn't just to become a "prompt engineer" who knows the right words to say to a chatbot. True clinical leadership in the digital age happens when you become a </w:t>
            </w:r>
            <w:r>
              <w:rPr>
                <w:rFonts w:ascii="Calibri" w:hAnsi="Calibri"/>
                <w:b/>
                <w:i w:val="0"/>
                <w:color w:val="07343B"/>
                <w:sz w:val="22"/>
              </w:rPr>
              <w:t>workflow designer</w:t>
            </w:r>
            <w:r>
              <w:rPr>
                <w:rFonts w:ascii="Calibri" w:hAnsi="Calibri"/>
                <w:b w:val="0"/>
                <w:i w:val="0"/>
                <w:color w:val="07343B"/>
                <w:sz w:val="22"/>
              </w:rPr>
              <w:t>, moving from manual, one-off requests to structured, repeatable practice systems that safeguard your time and your professional standards.</w:t>
            </w:r>
          </w:p>
        </w:tc>
      </w:tr>
    </w:tbl>
    <w:p/>
    <w:p>
      <w:r>
        <w:rPr>
          <w:rFonts w:ascii="Calibri" w:hAnsi="Calibri"/>
          <w:b w:val="0"/>
          <w:i w:val="0"/>
          <w:color w:val="1A1A1A"/>
          <w:sz w:val="22"/>
        </w:rPr>
        <w:t>As we move away from the frustration of manual repetition, we enter the world of structured cycles where AI becomes a true partner in our professional practice.</w:t>
      </w:r>
    </w:p>
    <w:p>
      <w:pPr>
        <w:pStyle w:val="Heading2"/>
      </w:pPr>
      <w:r>
        <w:t>2. The practice loop: a familiar friend</w:t>
      </w:r>
    </w:p>
    <w:p>
      <w:r>
        <w:rPr>
          <w:rFonts w:ascii="Calibri" w:hAnsi="Calibri"/>
          <w:b w:val="0"/>
          <w:i w:val="0"/>
          <w:color w:val="1A1A1A"/>
          <w:sz w:val="22"/>
        </w:rPr>
        <w:t xml:space="preserve">If the concept of an "AI loop" sounds technical, take heart: as a nurse, you already think in loops every single day. The Practice Loop is simply a digital mirror of the </w:t>
      </w:r>
      <w:r>
        <w:rPr>
          <w:rFonts w:ascii="Calibri" w:hAnsi="Calibri"/>
          <w:b/>
          <w:i w:val="0"/>
          <w:color w:val="1A1A1A"/>
          <w:sz w:val="22"/>
        </w:rPr>
        <w:t>Nursing Process</w:t>
      </w:r>
      <w:r>
        <w:rPr>
          <w:rFonts w:ascii="Calibri" w:hAnsi="Calibri"/>
          <w:b w:val="0"/>
          <w:i w:val="0"/>
          <w:color w:val="1A1A1A"/>
          <w:sz w:val="22"/>
        </w:rPr>
        <w:t>. Both are designed to ensure that actions are not just performed, but are evaluated and adjusted based on rigorous evidence and clear professional standards.</w:t>
      </w:r>
    </w:p>
    <w:tbl>
      <w:tblPr>
        <w:tblStyle w:val="TableGrid"/>
        <w:tblW w:type="auto" w:w="0"/>
        <w:jc w:val="center"/>
        <w:tblLook w:firstColumn="1" w:firstRow="1" w:lastColumn="0" w:lastRow="0" w:noHBand="0" w:noVBand="1" w:val="04A0"/>
      </w:tblPr>
      <w:tblGrid>
        <w:gridCol w:w="4824"/>
        <w:gridCol w:w="4824"/>
      </w:tblGrid>
      <w:tr>
        <w:tc>
          <w:tcPr>
            <w:tcW w:type="dxa" w:w="4824"/>
            <w:tcMar>
              <w:top w:w="60" w:type="dxa"/>
              <w:bottom w:w="60" w:type="dxa"/>
              <w:start w:w="120" w:type="dxa"/>
              <w:end w:w="120" w:type="dxa"/>
            </w:tcMar>
            <w:shd w:val="clear" w:color="auto" w:fill="026A76"/>
          </w:tcPr>
          <w:p>
            <w:pPr>
              <w:spacing w:after="0"/>
            </w:pPr>
            <w:r>
              <w:rPr>
                <w:rFonts w:ascii="Calibri" w:hAnsi="Calibri"/>
                <w:b/>
                <w:i w:val="0"/>
                <w:color w:val="FFFFFF"/>
                <w:sz w:val="21"/>
              </w:rPr>
              <w:t>Loop stage</w:t>
            </w:r>
          </w:p>
        </w:tc>
        <w:tc>
          <w:tcPr>
            <w:tcW w:type="dxa" w:w="4824"/>
            <w:tcMar>
              <w:top w:w="60" w:type="dxa"/>
              <w:bottom w:w="60" w:type="dxa"/>
              <w:start w:w="120" w:type="dxa"/>
              <w:end w:w="120" w:type="dxa"/>
            </w:tcMar>
            <w:shd w:val="clear" w:color="auto" w:fill="026A76"/>
          </w:tcPr>
          <w:p>
            <w:pPr>
              <w:spacing w:after="0"/>
            </w:pPr>
            <w:r>
              <w:rPr>
                <w:rFonts w:ascii="Calibri" w:hAnsi="Calibri"/>
                <w:b/>
                <w:i w:val="0"/>
                <w:color w:val="FFFFFF"/>
                <w:sz w:val="21"/>
              </w:rPr>
              <w:t>Nursing action</w:t>
            </w:r>
          </w:p>
        </w:tc>
      </w:tr>
      <w:tr>
        <w:tc>
          <w:tcPr>
            <w:tcW w:type="dxa" w:w="4824"/>
            <w:tcMar>
              <w:top w:w="60" w:type="dxa"/>
              <w:bottom w:w="60" w:type="dxa"/>
              <w:start w:w="120" w:type="dxa"/>
              <w:end w:w="120" w:type="dxa"/>
            </w:tcMar>
          </w:tcPr>
          <w:p>
            <w:pPr>
              <w:spacing w:after="0"/>
            </w:pPr>
            <w:r>
              <w:rPr>
                <w:rFonts w:ascii="Calibri" w:hAnsi="Calibri"/>
                <w:b w:val="0"/>
                <w:i w:val="0"/>
                <w:color w:val="1A1A1A"/>
                <w:sz w:val="21"/>
              </w:rPr>
              <w:t>Discover</w:t>
            </w:r>
          </w:p>
        </w:tc>
        <w:tc>
          <w:tcPr>
            <w:tcW w:type="dxa" w:w="4824"/>
            <w:tcMar>
              <w:top w:w="60" w:type="dxa"/>
              <w:bottom w:w="60" w:type="dxa"/>
              <w:start w:w="120" w:type="dxa"/>
              <w:end w:w="120" w:type="dxa"/>
            </w:tcMar>
          </w:tcPr>
          <w:p>
            <w:pPr>
              <w:spacing w:after="0"/>
            </w:pPr>
            <w:r>
              <w:rPr>
                <w:rFonts w:ascii="Calibri" w:hAnsi="Calibri"/>
                <w:b/>
                <w:i w:val="0"/>
                <w:color w:val="1A1A1A"/>
                <w:sz w:val="21"/>
              </w:rPr>
              <w:t>Assessment:</w:t>
            </w:r>
            <w:r>
              <w:rPr>
                <w:rFonts w:ascii="Calibri" w:hAnsi="Calibri"/>
                <w:b w:val="0"/>
                <w:i w:val="0"/>
                <w:color w:val="1A1A1A"/>
                <w:sz w:val="21"/>
              </w:rPr>
              <w:t xml:space="preserve"> Identifying the concern, risks, and missing information.</w:t>
            </w:r>
          </w:p>
        </w:tc>
      </w:tr>
      <w:tr>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Plan</w:t>
            </w:r>
          </w:p>
        </w:tc>
        <w:tc>
          <w:tcPr>
            <w:tcW w:type="dxa" w:w="4824"/>
            <w:tcMar>
              <w:top w:w="60" w:type="dxa"/>
              <w:bottom w:w="60" w:type="dxa"/>
              <w:start w:w="120" w:type="dxa"/>
              <w:end w:w="120" w:type="dxa"/>
            </w:tcMar>
            <w:shd w:val="clear" w:color="auto" w:fill="F1F7F7"/>
          </w:tcPr>
          <w:p>
            <w:pPr>
              <w:spacing w:after="0"/>
            </w:pPr>
            <w:r>
              <w:rPr>
                <w:rFonts w:ascii="Calibri" w:hAnsi="Calibri"/>
                <w:b/>
                <w:i w:val="0"/>
                <w:color w:val="1A1A1A"/>
                <w:sz w:val="21"/>
              </w:rPr>
              <w:t>Planning:</w:t>
            </w:r>
            <w:r>
              <w:rPr>
                <w:rFonts w:ascii="Calibri" w:hAnsi="Calibri"/>
                <w:b w:val="0"/>
                <w:i w:val="0"/>
                <w:color w:val="1A1A1A"/>
                <w:sz w:val="21"/>
              </w:rPr>
              <w:t xml:space="preserve"> Mapping concerns to standards and deciding the next best step.</w:t>
            </w:r>
          </w:p>
        </w:tc>
      </w:tr>
      <w:tr>
        <w:tc>
          <w:tcPr>
            <w:tcW w:type="dxa" w:w="4824"/>
            <w:tcMar>
              <w:top w:w="60" w:type="dxa"/>
              <w:bottom w:w="60" w:type="dxa"/>
              <w:start w:w="120" w:type="dxa"/>
              <w:end w:w="120" w:type="dxa"/>
            </w:tcMar>
          </w:tcPr>
          <w:p>
            <w:pPr>
              <w:spacing w:after="0"/>
            </w:pPr>
            <w:r>
              <w:rPr>
                <w:rFonts w:ascii="Calibri" w:hAnsi="Calibri"/>
                <w:b w:val="0"/>
                <w:i w:val="0"/>
                <w:color w:val="1A1A1A"/>
                <w:sz w:val="21"/>
              </w:rPr>
              <w:t>Execute</w:t>
            </w:r>
          </w:p>
        </w:tc>
        <w:tc>
          <w:tcPr>
            <w:tcW w:type="dxa" w:w="4824"/>
            <w:tcMar>
              <w:top w:w="60" w:type="dxa"/>
              <w:bottom w:w="60" w:type="dxa"/>
              <w:start w:w="120" w:type="dxa"/>
              <w:end w:w="120" w:type="dxa"/>
            </w:tcMar>
          </w:tcPr>
          <w:p>
            <w:pPr>
              <w:spacing w:after="0"/>
            </w:pPr>
            <w:r>
              <w:rPr>
                <w:rFonts w:ascii="Calibri" w:hAnsi="Calibri"/>
                <w:b/>
                <w:i w:val="0"/>
                <w:color w:val="1A1A1A"/>
                <w:sz w:val="21"/>
              </w:rPr>
              <w:t>Intervention:</w:t>
            </w:r>
            <w:r>
              <w:rPr>
                <w:rFonts w:ascii="Calibri" w:hAnsi="Calibri"/>
                <w:b w:val="0"/>
                <w:i w:val="0"/>
                <w:color w:val="1A1A1A"/>
                <w:sz w:val="21"/>
              </w:rPr>
              <w:t xml:space="preserve"> Producing the draft work (e.g., a support plan or summary).</w:t>
            </w:r>
          </w:p>
        </w:tc>
      </w:tr>
      <w:tr>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Verify</w:t>
            </w:r>
          </w:p>
        </w:tc>
        <w:tc>
          <w:tcPr>
            <w:tcW w:type="dxa" w:w="4824"/>
            <w:tcMar>
              <w:top w:w="60" w:type="dxa"/>
              <w:bottom w:w="60" w:type="dxa"/>
              <w:start w:w="120" w:type="dxa"/>
              <w:end w:w="120" w:type="dxa"/>
            </w:tcMar>
            <w:shd w:val="clear" w:color="auto" w:fill="F1F7F7"/>
          </w:tcPr>
          <w:p>
            <w:pPr>
              <w:spacing w:after="0"/>
            </w:pPr>
            <w:r>
              <w:rPr>
                <w:rFonts w:ascii="Calibri" w:hAnsi="Calibri"/>
                <w:b/>
                <w:i w:val="0"/>
                <w:color w:val="1A1A1A"/>
                <w:sz w:val="21"/>
              </w:rPr>
              <w:t>Evaluation:</w:t>
            </w:r>
            <w:r>
              <w:rPr>
                <w:rFonts w:ascii="Calibri" w:hAnsi="Calibri"/>
                <w:b w:val="0"/>
                <w:i w:val="0"/>
                <w:color w:val="1A1A1A"/>
                <w:sz w:val="21"/>
              </w:rPr>
              <w:t xml:space="preserve"> Scoring the output against regulatory standards and clinical logic.</w:t>
            </w:r>
          </w:p>
        </w:tc>
      </w:tr>
      <w:tr>
        <w:tc>
          <w:tcPr>
            <w:tcW w:type="dxa" w:w="4824"/>
            <w:tcMar>
              <w:top w:w="60" w:type="dxa"/>
              <w:bottom w:w="60" w:type="dxa"/>
              <w:start w:w="120" w:type="dxa"/>
              <w:end w:w="120" w:type="dxa"/>
            </w:tcMar>
          </w:tcPr>
          <w:p>
            <w:pPr>
              <w:spacing w:after="0"/>
            </w:pPr>
            <w:r>
              <w:rPr>
                <w:rFonts w:ascii="Calibri" w:hAnsi="Calibri"/>
                <w:b w:val="0"/>
                <w:i w:val="0"/>
                <w:color w:val="1A1A1A"/>
                <w:sz w:val="21"/>
              </w:rPr>
              <w:t>Iterate</w:t>
            </w:r>
          </w:p>
        </w:tc>
        <w:tc>
          <w:tcPr>
            <w:tcW w:type="dxa" w:w="4824"/>
            <w:tcMar>
              <w:top w:w="60" w:type="dxa"/>
              <w:bottom w:w="60" w:type="dxa"/>
              <w:start w:w="120" w:type="dxa"/>
              <w:end w:w="120" w:type="dxa"/>
            </w:tcMar>
          </w:tcPr>
          <w:p>
            <w:pPr>
              <w:spacing w:after="0"/>
            </w:pPr>
            <w:r>
              <w:rPr>
                <w:rFonts w:ascii="Calibri" w:hAnsi="Calibri"/>
                <w:b/>
                <w:i w:val="0"/>
                <w:color w:val="1A1A1A"/>
                <w:sz w:val="21"/>
              </w:rPr>
              <w:t>Adjustment:</w:t>
            </w:r>
            <w:r>
              <w:rPr>
                <w:rFonts w:ascii="Calibri" w:hAnsi="Calibri"/>
                <w:b w:val="0"/>
                <w:i w:val="0"/>
                <w:color w:val="1A1A1A"/>
                <w:sz w:val="21"/>
              </w:rPr>
              <w:t xml:space="preserve"> Refining the output until it meets the required professional threshold.</w:t>
            </w:r>
          </w:p>
        </w:tc>
      </w:tr>
    </w:tbl>
    <w:p/>
    <w:p>
      <w:r>
        <w:rPr>
          <w:rFonts w:ascii="Calibri" w:hAnsi="Calibri"/>
          <w:b w:val="0"/>
          <w:i w:val="0"/>
          <w:color w:val="1A1A1A"/>
          <w:sz w:val="22"/>
        </w:rPr>
        <w:t>Because nurses are already trained to think in cycles of care and quality improvement, you are naturally prepared to design AI loops. You are already an architect of practice; you are simply applying that expertise to a new medium.</w:t>
      </w:r>
    </w:p>
    <w:p>
      <w:pPr>
        <w:pStyle w:val="Heading2"/>
      </w:pPr>
      <w:r>
        <w:t>3. Prompt vs. loop: seeing the difference</w:t>
      </w:r>
    </w:p>
    <w:p>
      <w:r>
        <w:rPr>
          <w:rFonts w:ascii="Calibri" w:hAnsi="Calibri"/>
          <w:b w:val="0"/>
          <w:i w:val="0"/>
          <w:color w:val="1A1A1A"/>
          <w:sz w:val="22"/>
        </w:rPr>
        <w:t>To understand the power of this shift, we must contrast a single instruction with a repeated workflow. The difference lies in the threshold for quality. A loop doesn't just stop when it's "done"; it stops when it's "right."</w:t>
      </w:r>
    </w:p>
    <w:p>
      <w:r>
        <w:rPr>
          <w:rFonts w:ascii="Calibri" w:hAnsi="Calibri"/>
          <w:b/>
          <w:i w:val="0"/>
          <w:color w:val="1A1A1A"/>
          <w:sz w:val="22"/>
        </w:rPr>
        <w:t>The simple prompt:</w:t>
      </w:r>
      <w:r>
        <w:rPr>
          <w:rFonts w:ascii="Calibri" w:hAnsi="Calibri"/>
          <w:b w:val="0"/>
          <w:i w:val="0"/>
          <w:color w:val="1A1A1A"/>
          <w:sz w:val="22"/>
        </w:rPr>
        <w:t xml:space="preserve"> "Write a student action plan from these notes."</w:t>
      </w:r>
    </w:p>
    <w:p>
      <w:r>
        <w:rPr>
          <w:rFonts w:ascii="Calibri" w:hAnsi="Calibri"/>
          <w:b/>
          <w:i w:val="0"/>
          <w:color w:val="1A1A1A"/>
          <w:sz w:val="22"/>
        </w:rPr>
        <w:t>The practice loop:</w:t>
      </w:r>
      <w:r>
        <w:rPr>
          <w:rFonts w:ascii="Calibri" w:hAnsi="Calibri"/>
          <w:b w:val="0"/>
          <w:i w:val="0"/>
          <w:color w:val="1A1A1A"/>
          <w:sz w:val="22"/>
        </w:rPr>
        <w:t xml:space="preserve"> "Write a student action plan from these notes. Then check the plan against the following standards: clear concern, evidence, SMART actions, and NMC professional values. Score each area out of 10. If any area scores below 8, revise the plan. Stop after three rounds and flag anything requiring human review."</w:t>
      </w:r>
    </w:p>
    <w:p>
      <w:r>
        <w:rPr>
          <w:rFonts w:ascii="Calibri" w:hAnsi="Calibri"/>
          <w:b w:val="0"/>
          <w:i w:val="0"/>
          <w:color w:val="1A1A1A"/>
          <w:sz w:val="22"/>
        </w:rPr>
        <w:t xml:space="preserve">While the simple prompt hopes for a good result, the loop provides the AI with a </w:t>
      </w:r>
      <w:r>
        <w:rPr>
          <w:rFonts w:ascii="Calibri" w:hAnsi="Calibri"/>
          <w:b/>
          <w:i w:val="0"/>
          <w:color w:val="1A1A1A"/>
          <w:sz w:val="22"/>
        </w:rPr>
        <w:t>job, a standard, and a stopping rule</w:t>
      </w:r>
      <w:r>
        <w:rPr>
          <w:rFonts w:ascii="Calibri" w:hAnsi="Calibri"/>
          <w:b w:val="0"/>
          <w:i w:val="0"/>
          <w:color w:val="1A1A1A"/>
          <w:sz w:val="22"/>
        </w:rPr>
        <w:t>. This stopping rule is a vital safety feature: it prevents "AI hallucinations" or vague logic from compounding over infinite iterations, ensuring the machine escalates to you when it cannot meet your professional requirements.</w:t>
      </w:r>
    </w:p>
    <w:p>
      <w:pPr>
        <w:pStyle w:val="Heading2"/>
      </w:pPr>
      <w:r>
        <w:t>4. The 6 pillars of a practice loop</w:t>
      </w:r>
    </w:p>
    <w:p>
      <w:r>
        <w:rPr>
          <w:rFonts w:ascii="Calibri" w:hAnsi="Calibri"/>
          <w:b w:val="0"/>
          <w:i w:val="0"/>
          <w:color w:val="1A1A1A"/>
          <w:sz w:val="22"/>
        </w:rPr>
        <w:t>A robust Practice Loop is built on six foundational pillars. These ensure your workflow remains disciplined, visible, and auditable.</w:t>
      </w:r>
    </w:p>
    <w:p>
      <w:pPr>
        <w:pStyle w:val="Heading3"/>
      </w:pPr>
      <w:r>
        <w:t>Trigger</w:t>
      </w:r>
    </w:p>
    <w:p>
      <w:r>
        <w:rPr>
          <w:rFonts w:ascii="Calibri" w:hAnsi="Calibri"/>
          <w:b/>
          <w:i w:val="0"/>
          <w:color w:val="1A1A1A"/>
          <w:sz w:val="22"/>
        </w:rPr>
        <w:t>Nurse's definition:</w:t>
      </w:r>
      <w:r>
        <w:rPr>
          <w:rFonts w:ascii="Calibri" w:hAnsi="Calibri"/>
          <w:b w:val="0"/>
          <w:i w:val="0"/>
          <w:color w:val="1A1A1A"/>
          <w:sz w:val="22"/>
        </w:rPr>
        <w:t xml:space="preserve"> The clinical or educational event that starts the workflow (e.g., a meeting ending or a concern being logged).</w:t>
      </w:r>
    </w:p>
    <w:p>
      <w:r>
        <w:rPr>
          <w:rFonts w:ascii="Calibri" w:hAnsi="Calibri"/>
          <w:b/>
          <w:i w:val="0"/>
          <w:color w:val="1A1A1A"/>
          <w:sz w:val="22"/>
        </w:rPr>
        <w:t>Why this matters:</w:t>
      </w:r>
      <w:r>
        <w:rPr>
          <w:rFonts w:ascii="Calibri" w:hAnsi="Calibri"/>
          <w:b w:val="0"/>
          <w:i w:val="0"/>
          <w:color w:val="1A1A1A"/>
          <w:sz w:val="22"/>
        </w:rPr>
        <w:t xml:space="preserve"> It ensures the work starts consistently. For beginners, manual triggers — where you choose to initiate the loop — remain the safest way to maintain control.</w:t>
      </w:r>
    </w:p>
    <w:p>
      <w:pPr>
        <w:pStyle w:val="Heading3"/>
      </w:pPr>
      <w:r>
        <w:t>Task</w:t>
      </w:r>
    </w:p>
    <w:p>
      <w:r>
        <w:rPr>
          <w:rFonts w:ascii="Calibri" w:hAnsi="Calibri"/>
          <w:b/>
          <w:i w:val="0"/>
          <w:color w:val="1A1A1A"/>
          <w:sz w:val="22"/>
        </w:rPr>
        <w:t>Nurse's definition:</w:t>
      </w:r>
      <w:r>
        <w:rPr>
          <w:rFonts w:ascii="Calibri" w:hAnsi="Calibri"/>
          <w:b w:val="0"/>
          <w:i w:val="0"/>
          <w:color w:val="1A1A1A"/>
          <w:sz w:val="22"/>
        </w:rPr>
        <w:t xml:space="preserve"> A specific, bounded description of the work that defines what the AI must </w:t>
      </w:r>
      <w:r>
        <w:rPr>
          <w:rFonts w:ascii="Calibri" w:hAnsi="Calibri"/>
          <w:b w:val="0"/>
          <w:i/>
          <w:color w:val="1A1A1A"/>
          <w:sz w:val="22"/>
        </w:rPr>
        <w:t>not</w:t>
      </w:r>
      <w:r>
        <w:rPr>
          <w:rFonts w:ascii="Calibri" w:hAnsi="Calibri"/>
          <w:b w:val="0"/>
          <w:i w:val="0"/>
          <w:color w:val="1A1A1A"/>
          <w:sz w:val="22"/>
        </w:rPr>
        <w:t xml:space="preserve"> decide.</w:t>
      </w:r>
    </w:p>
    <w:p>
      <w:r>
        <w:rPr>
          <w:rFonts w:ascii="Calibri" w:hAnsi="Calibri"/>
          <w:b/>
          <w:i w:val="0"/>
          <w:color w:val="1A1A1A"/>
          <w:sz w:val="22"/>
        </w:rPr>
        <w:t>Why this matters:</w:t>
      </w:r>
      <w:r>
        <w:rPr>
          <w:rFonts w:ascii="Calibri" w:hAnsi="Calibri"/>
          <w:b w:val="0"/>
          <w:i w:val="0"/>
          <w:color w:val="1A1A1A"/>
          <w:sz w:val="22"/>
        </w:rPr>
        <w:t xml:space="preserve"> Specificity protects your professional accountability. Vague tasks force the AI to make assumptions, which is where clinical risk begins.</w:t>
      </w:r>
    </w:p>
    <w:p>
      <w:pPr>
        <w:pStyle w:val="Heading3"/>
      </w:pPr>
      <w:r>
        <w:t>Standard</w:t>
      </w:r>
    </w:p>
    <w:p>
      <w:r>
        <w:rPr>
          <w:rFonts w:ascii="Calibri" w:hAnsi="Calibri"/>
          <w:b/>
          <w:i w:val="0"/>
          <w:color w:val="1A1A1A"/>
          <w:sz w:val="22"/>
        </w:rPr>
        <w:t>Nurse's definition:</w:t>
      </w:r>
      <w:r>
        <w:rPr>
          <w:rFonts w:ascii="Calibri" w:hAnsi="Calibri"/>
          <w:b w:val="0"/>
          <w:i w:val="0"/>
          <w:color w:val="1A1A1A"/>
          <w:sz w:val="22"/>
        </w:rPr>
        <w:t xml:space="preserve"> The regulatory shield (e.g., the NMC Code, Trust Policy, or PAD requirements) that defines "what good looks like."</w:t>
      </w:r>
    </w:p>
    <w:p>
      <w:r>
        <w:rPr>
          <w:rFonts w:ascii="Calibri" w:hAnsi="Calibri"/>
          <w:b/>
          <w:i w:val="0"/>
          <w:color w:val="1A1A1A"/>
          <w:sz w:val="22"/>
        </w:rPr>
        <w:t>Why this matters:</w:t>
      </w:r>
      <w:r>
        <w:rPr>
          <w:rFonts w:ascii="Calibri" w:hAnsi="Calibri"/>
          <w:b w:val="0"/>
          <w:i w:val="0"/>
          <w:color w:val="1A1A1A"/>
          <w:sz w:val="22"/>
        </w:rPr>
        <w:t xml:space="preserve"> It moves the AI beyond "sounding professional" to meeting actual clinical or legal requirements. This standard is what protects your registration.</w:t>
      </w:r>
    </w:p>
    <w:p>
      <w:pPr>
        <w:pStyle w:val="Heading3"/>
      </w:pPr>
      <w:r>
        <w:t>Verification</w:t>
      </w:r>
    </w:p>
    <w:p>
      <w:r>
        <w:rPr>
          <w:rFonts w:ascii="Calibri" w:hAnsi="Calibri"/>
          <w:b/>
          <w:i w:val="0"/>
          <w:color w:val="1A1A1A"/>
          <w:sz w:val="22"/>
        </w:rPr>
        <w:t>Nurse's definition:</w:t>
      </w:r>
      <w:r>
        <w:rPr>
          <w:rFonts w:ascii="Calibri" w:hAnsi="Calibri"/>
          <w:b w:val="0"/>
          <w:i w:val="0"/>
          <w:color w:val="1A1A1A"/>
          <w:sz w:val="22"/>
        </w:rPr>
        <w:t xml:space="preserve"> The gatekeeping step where the output is scored against the Standard.</w:t>
      </w:r>
    </w:p>
    <w:p>
      <w:r>
        <w:rPr>
          <w:rFonts w:ascii="Calibri" w:hAnsi="Calibri"/>
          <w:b/>
          <w:i w:val="0"/>
          <w:color w:val="1A1A1A"/>
          <w:sz w:val="22"/>
        </w:rPr>
        <w:t>Why this matters:</w:t>
      </w:r>
      <w:r>
        <w:rPr>
          <w:rFonts w:ascii="Calibri" w:hAnsi="Calibri"/>
          <w:b w:val="0"/>
          <w:i w:val="0"/>
          <w:color w:val="1A1A1A"/>
          <w:sz w:val="22"/>
        </w:rPr>
        <w:t xml:space="preserve"> It identifies "quiet failure" — where an AI sounds confident but has missed a safeguarding risk or a reasonable adjustment.</w:t>
      </w:r>
    </w:p>
    <w:p>
      <w:pPr>
        <w:pStyle w:val="Heading3"/>
      </w:pPr>
      <w:r>
        <w:t>Iteration</w:t>
      </w:r>
    </w:p>
    <w:p>
      <w:r>
        <w:rPr>
          <w:rFonts w:ascii="Calibri" w:hAnsi="Calibri"/>
          <w:b/>
          <w:i w:val="0"/>
          <w:color w:val="1A1A1A"/>
          <w:sz w:val="22"/>
        </w:rPr>
        <w:t>Nurse's definition:</w:t>
      </w:r>
      <w:r>
        <w:rPr>
          <w:rFonts w:ascii="Calibri" w:hAnsi="Calibri"/>
          <w:b w:val="0"/>
          <w:i w:val="0"/>
          <w:color w:val="1A1A1A"/>
          <w:sz w:val="22"/>
        </w:rPr>
        <w:t xml:space="preserve"> The process of the AI identifying its own weak points and fixing them before you see the draft.</w:t>
      </w:r>
    </w:p>
    <w:p>
      <w:r>
        <w:rPr>
          <w:rFonts w:ascii="Calibri" w:hAnsi="Calibri"/>
          <w:b/>
          <w:i w:val="0"/>
          <w:color w:val="1A1A1A"/>
          <w:sz w:val="22"/>
        </w:rPr>
        <w:t>Why this matters:</w:t>
      </w:r>
      <w:r>
        <w:rPr>
          <w:rFonts w:ascii="Calibri" w:hAnsi="Calibri"/>
          <w:b w:val="0"/>
          <w:i w:val="0"/>
          <w:color w:val="1A1A1A"/>
          <w:sz w:val="22"/>
        </w:rPr>
        <w:t xml:space="preserve"> It makes the AI's reasoning visible to you. You can see what was checked, what failed, and what was improved, creating a clear audit trail.</w:t>
      </w:r>
    </w:p>
    <w:p>
      <w:pPr>
        <w:pStyle w:val="Heading3"/>
      </w:pPr>
      <w:r>
        <w:t>Human sign-off</w:t>
      </w:r>
    </w:p>
    <w:p>
      <w:r>
        <w:rPr>
          <w:rFonts w:ascii="Calibri" w:hAnsi="Calibri"/>
          <w:b/>
          <w:i w:val="0"/>
          <w:color w:val="1A1A1A"/>
          <w:sz w:val="22"/>
        </w:rPr>
        <w:t>Nurse's definition:</w:t>
      </w:r>
      <w:r>
        <w:rPr>
          <w:rFonts w:ascii="Calibri" w:hAnsi="Calibri"/>
          <w:b w:val="0"/>
          <w:i w:val="0"/>
          <w:color w:val="1A1A1A"/>
          <w:sz w:val="22"/>
        </w:rPr>
        <w:t xml:space="preserve"> The final professional review and decision by the qualified registrant.</w:t>
      </w:r>
    </w:p>
    <w:p>
      <w:r>
        <w:rPr>
          <w:rFonts w:ascii="Calibri" w:hAnsi="Calibri"/>
          <w:b/>
          <w:i w:val="0"/>
          <w:color w:val="1A1A1A"/>
          <w:sz w:val="22"/>
        </w:rPr>
        <w:t>Why this matters:</w:t>
      </w:r>
      <w:r>
        <w:rPr>
          <w:rFonts w:ascii="Calibri" w:hAnsi="Calibri"/>
          <w:b w:val="0"/>
          <w:i w:val="0"/>
          <w:color w:val="1A1A1A"/>
          <w:sz w:val="22"/>
        </w:rPr>
        <w:t xml:space="preserve"> Professional accountability always rests with the nurse. AI drafts the system, but the nurse owns the judgment.</w:t>
      </w:r>
    </w:p>
    <w:p>
      <w:pPr>
        <w:pStyle w:val="Heading2"/>
      </w:pPr>
      <w:r>
        <w:t>5. Verification: the heart of the loop</w:t>
      </w:r>
    </w:p>
    <w:p>
      <w:r>
        <w:rPr>
          <w:rFonts w:ascii="Calibri" w:hAnsi="Calibri"/>
          <w:b w:val="0"/>
          <w:i w:val="0"/>
          <w:color w:val="1A1A1A"/>
          <w:sz w:val="22"/>
        </w:rPr>
        <w:t>For a Nursing Citizen Developer, designing the verification standard is a more important skill than writing the prompt. Without it, you risk "quiet failure" — polished documents that may confuse a student's conduct with their capability or fail to include reasonable adjustments required by the Equality Act.</w:t>
      </w:r>
    </w:p>
    <w:p>
      <w:r>
        <w:rPr>
          <w:rFonts w:ascii="Calibri" w:hAnsi="Calibri"/>
          <w:b/>
          <w:i w:val="0"/>
          <w:color w:val="1A1A1A"/>
          <w:sz w:val="22"/>
        </w:rPr>
        <w:t>The verification checklist.</w:t>
      </w:r>
      <w:r>
        <w:rPr>
          <w:rFonts w:ascii="Calibri" w:hAnsi="Calibri"/>
          <w:b w:val="0"/>
          <w:i w:val="0"/>
          <w:color w:val="1A1A1A"/>
          <w:sz w:val="22"/>
        </w:rPr>
        <w:t xml:space="preserve"> To ensure safety, equity, and clinical rigour, always ask these five questions during the verification stage:</w:t>
      </w:r>
    </w:p>
    <w:p>
      <w:pPr>
        <w:pStyle w:val="ListBullet"/>
      </w:pPr>
      <w:r>
        <w:rPr>
          <w:rFonts w:ascii="Calibri" w:hAnsi="Calibri"/>
        </w:rPr>
        <w:t xml:space="preserve">☐ </w:t>
      </w:r>
      <w:r>
        <w:rPr>
          <w:rFonts w:ascii="Calibri" w:hAnsi="Calibri"/>
          <w:b/>
          <w:i w:val="0"/>
          <w:color w:val="1A1A1A"/>
          <w:sz w:val="22"/>
        </w:rPr>
        <w:t>Evidence vs. opinion:</w:t>
      </w:r>
      <w:r>
        <w:rPr>
          <w:rFonts w:ascii="Calibri" w:hAnsi="Calibri"/>
          <w:b w:val="0"/>
          <w:i w:val="0"/>
          <w:color w:val="1A1A1A"/>
          <w:sz w:val="22"/>
        </w:rPr>
        <w:t xml:space="preserve"> Has the AI clearly separated factual evidence from subjective interpretation to support a fair audit trail?</w:t>
      </w:r>
    </w:p>
    <w:p>
      <w:pPr>
        <w:pStyle w:val="ListBullet"/>
      </w:pPr>
      <w:r>
        <w:rPr>
          <w:rFonts w:ascii="Calibri" w:hAnsi="Calibri"/>
        </w:rPr>
        <w:t xml:space="preserve">☐ </w:t>
      </w:r>
      <w:r>
        <w:rPr>
          <w:rFonts w:ascii="Calibri" w:hAnsi="Calibri"/>
          <w:b/>
          <w:i w:val="0"/>
          <w:color w:val="1A1A1A"/>
          <w:sz w:val="22"/>
        </w:rPr>
        <w:t>Conduct vs. capability:</w:t>
      </w:r>
      <w:r>
        <w:rPr>
          <w:rFonts w:ascii="Calibri" w:hAnsi="Calibri"/>
          <w:b w:val="0"/>
          <w:i w:val="0"/>
          <w:color w:val="1A1A1A"/>
          <w:sz w:val="22"/>
        </w:rPr>
        <w:t xml:space="preserve"> Does the output correctly distinguish between performance issues (capability) and behavioural issues (conduct)?</w:t>
      </w:r>
    </w:p>
    <w:p>
      <w:pPr>
        <w:pStyle w:val="ListBullet"/>
      </w:pPr>
      <w:r>
        <w:rPr>
          <w:rFonts w:ascii="Calibri" w:hAnsi="Calibri"/>
        </w:rPr>
        <w:t xml:space="preserve">☐ </w:t>
      </w:r>
      <w:r>
        <w:rPr>
          <w:rFonts w:ascii="Calibri" w:hAnsi="Calibri"/>
          <w:b/>
          <w:i w:val="0"/>
          <w:color w:val="1A1A1A"/>
          <w:sz w:val="22"/>
        </w:rPr>
        <w:t>Equity and bias:</w:t>
      </w:r>
      <w:r>
        <w:rPr>
          <w:rFonts w:ascii="Calibri" w:hAnsi="Calibri"/>
          <w:b w:val="0"/>
          <w:i w:val="0"/>
          <w:color w:val="1A1A1A"/>
          <w:sz w:val="22"/>
        </w:rPr>
        <w:t xml:space="preserve"> Has the AI checked for non-punitive language and included necessary reasonable adjustments or health context?</w:t>
      </w:r>
    </w:p>
    <w:p>
      <w:pPr>
        <w:pStyle w:val="ListBullet"/>
      </w:pPr>
      <w:r>
        <w:rPr>
          <w:rFonts w:ascii="Calibri" w:hAnsi="Calibri"/>
        </w:rPr>
        <w:t xml:space="preserve">☐ </w:t>
      </w:r>
      <w:r>
        <w:rPr>
          <w:rFonts w:ascii="Calibri" w:hAnsi="Calibri"/>
          <w:b/>
          <w:i w:val="0"/>
          <w:color w:val="1A1A1A"/>
          <w:sz w:val="22"/>
        </w:rPr>
        <w:t>SMART actions:</w:t>
      </w:r>
      <w:r>
        <w:rPr>
          <w:rFonts w:ascii="Calibri" w:hAnsi="Calibri"/>
          <w:b w:val="0"/>
          <w:i w:val="0"/>
          <w:color w:val="1A1A1A"/>
          <w:sz w:val="22"/>
        </w:rPr>
        <w:t xml:space="preserve"> Are the resulting actions Specific, Measurable, Achievable, Relevant, and Timely?</w:t>
      </w:r>
    </w:p>
    <w:p>
      <w:pPr>
        <w:pStyle w:val="ListBullet"/>
      </w:pPr>
      <w:r>
        <w:rPr>
          <w:rFonts w:ascii="Calibri" w:hAnsi="Calibri"/>
        </w:rPr>
        <w:t xml:space="preserve">☐ </w:t>
      </w:r>
      <w:r>
        <w:rPr>
          <w:rFonts w:ascii="Calibri" w:hAnsi="Calibri"/>
          <w:b/>
          <w:i w:val="0"/>
          <w:color w:val="1A1A1A"/>
          <w:sz w:val="22"/>
        </w:rPr>
        <w:t>Escalation flags:</w:t>
      </w:r>
      <w:r>
        <w:rPr>
          <w:rFonts w:ascii="Calibri" w:hAnsi="Calibri"/>
          <w:b w:val="0"/>
          <w:i w:val="0"/>
          <w:color w:val="1A1A1A"/>
          <w:sz w:val="22"/>
        </w:rPr>
        <w:t xml:space="preserve"> Has the AI identified specific risks (e.g., safeguarding or clinical safety) that require immediate human escalation?</w:t>
      </w:r>
    </w:p>
    <w:p>
      <w:pPr>
        <w:pStyle w:val="Heading2"/>
      </w:pPr>
      <w:r>
        <w:t>6. Practice loops in action: real-world nursing use cases</w:t>
      </w:r>
    </w:p>
    <w:p>
      <w:r>
        <w:rPr>
          <w:rFonts w:ascii="Calibri" w:hAnsi="Calibri"/>
          <w:b w:val="0"/>
          <w:i w:val="0"/>
          <w:color w:val="1A1A1A"/>
          <w:sz w:val="22"/>
        </w:rPr>
        <w:t>Here is how these loops function in real clinical and educational environments:</w:t>
      </w:r>
    </w:p>
    <w:p>
      <w:pPr>
        <w:pStyle w:val="Heading3"/>
      </w:pPr>
      <w:r>
        <w:t>Student placement support</w:t>
      </w:r>
    </w:p>
    <w:p>
      <w:r>
        <w:rPr>
          <w:rFonts w:ascii="Calibri" w:hAnsi="Calibri"/>
          <w:b/>
          <w:i w:val="0"/>
          <w:color w:val="1A1A1A"/>
          <w:sz w:val="22"/>
        </w:rPr>
        <w:t>Task:</w:t>
      </w:r>
      <w:r>
        <w:rPr>
          <w:rFonts w:ascii="Calibri" w:hAnsi="Calibri"/>
          <w:b w:val="0"/>
          <w:i w:val="0"/>
          <w:color w:val="1A1A1A"/>
          <w:sz w:val="22"/>
        </w:rPr>
        <w:t xml:space="preserve"> Review placement meeting notes to draft a plan that separates learning needs from health or conduct concerns.</w:t>
      </w:r>
    </w:p>
    <w:p>
      <w:r>
        <w:rPr>
          <w:rFonts w:ascii="Calibri" w:hAnsi="Calibri"/>
          <w:b/>
          <w:i w:val="0"/>
          <w:color w:val="1A1A1A"/>
          <w:sz w:val="22"/>
        </w:rPr>
        <w:t>Standard:</w:t>
      </w:r>
      <w:r>
        <w:rPr>
          <w:rFonts w:ascii="Calibri" w:hAnsi="Calibri"/>
          <w:b w:val="0"/>
          <w:i w:val="0"/>
          <w:color w:val="1A1A1A"/>
          <w:sz w:val="22"/>
        </w:rPr>
        <w:t xml:space="preserve"> Must include student voice, mapping to PAD (Practice Assessment Document) requirements, and alignment with NMC professional values.</w:t>
      </w:r>
    </w:p>
    <w:p>
      <w:pPr>
        <w:pStyle w:val="Heading3"/>
      </w:pPr>
      <w:r>
        <w:t>Clinical supervision</w:t>
      </w:r>
    </w:p>
    <w:p>
      <w:r>
        <w:rPr>
          <w:rFonts w:ascii="Calibri" w:hAnsi="Calibri"/>
          <w:b/>
          <w:i w:val="0"/>
          <w:color w:val="1A1A1A"/>
          <w:sz w:val="22"/>
        </w:rPr>
        <w:t>Task:</w:t>
      </w:r>
      <w:r>
        <w:rPr>
          <w:rFonts w:ascii="Calibri" w:hAnsi="Calibri"/>
          <w:b w:val="0"/>
          <w:i w:val="0"/>
          <w:color w:val="1A1A1A"/>
          <w:sz w:val="22"/>
        </w:rPr>
        <w:t xml:space="preserve"> Summarise supervision transcripts to generate themes for reflection and agreed actions.</w:t>
      </w:r>
    </w:p>
    <w:p>
      <w:r>
        <w:rPr>
          <w:rFonts w:ascii="Calibri" w:hAnsi="Calibri"/>
          <w:b/>
          <w:i w:val="0"/>
          <w:color w:val="1A1A1A"/>
          <w:sz w:val="22"/>
        </w:rPr>
        <w:t>Standard:</w:t>
      </w:r>
      <w:r>
        <w:rPr>
          <w:rFonts w:ascii="Calibri" w:hAnsi="Calibri"/>
          <w:b w:val="0"/>
          <w:i w:val="0"/>
          <w:color w:val="1A1A1A"/>
          <w:sz w:val="22"/>
        </w:rPr>
        <w:t xml:space="preserve"> Must identify emotional impact and wellbeing considerations while flagging any professional boundary or risk concerns for follow-up.</w:t>
      </w:r>
    </w:p>
    <w:p>
      <w:pPr>
        <w:pStyle w:val="Heading3"/>
      </w:pPr>
      <w:r>
        <w:t>EDI workforce intelligence</w:t>
      </w:r>
    </w:p>
    <w:p>
      <w:r>
        <w:rPr>
          <w:rFonts w:ascii="Calibri" w:hAnsi="Calibri"/>
          <w:b/>
          <w:i w:val="0"/>
          <w:color w:val="1A1A1A"/>
          <w:sz w:val="22"/>
        </w:rPr>
        <w:t>Task:</w:t>
      </w:r>
      <w:r>
        <w:rPr>
          <w:rFonts w:ascii="Calibri" w:hAnsi="Calibri"/>
          <w:b w:val="0"/>
          <w:i w:val="0"/>
          <w:color w:val="1A1A1A"/>
          <w:sz w:val="22"/>
        </w:rPr>
        <w:t xml:space="preserve"> Review monthly workforce metrics to identify representation gaps and progression themes.</w:t>
      </w:r>
    </w:p>
    <w:p>
      <w:r>
        <w:rPr>
          <w:rFonts w:ascii="Calibri" w:hAnsi="Calibri"/>
          <w:b/>
          <w:i w:val="0"/>
          <w:color w:val="1A1A1A"/>
          <w:sz w:val="22"/>
        </w:rPr>
        <w:t>Standard:</w:t>
      </w:r>
      <w:r>
        <w:rPr>
          <w:rFonts w:ascii="Calibri" w:hAnsi="Calibri"/>
          <w:b w:val="0"/>
          <w:i w:val="0"/>
          <w:color w:val="1A1A1A"/>
          <w:sz w:val="22"/>
        </w:rPr>
        <w:t xml:space="preserve"> Must identify disciplinary disparity flags and recruitment patterns, connecting data to narrative without oversimplifying complex systemic issues.</w:t>
      </w:r>
    </w:p>
    <w:p>
      <w:pPr>
        <w:pStyle w:val="Heading2"/>
      </w:pPr>
      <w:r>
        <w:t>7. The golden rule: human sign-off and accountability</w:t>
      </w:r>
    </w:p>
    <w:p>
      <w:r>
        <w:rPr>
          <w:rFonts w:ascii="Calibri" w:hAnsi="Calibri"/>
          <w:b w:val="0"/>
          <w:i w:val="0"/>
          <w:color w:val="1A1A1A"/>
          <w:sz w:val="22"/>
        </w:rPr>
        <w:t>While AI is an incredible partner for drafting and organising, it is never the final decision-maker. As a registrant, you must know exactly where the machine stops and your professional duty begins.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504"/>
            <w:shd w:val="clear" w:color="auto" w:fill="E6F2F2"/>
            <w:tcMar>
              <w:top w:w="120" w:type="dxa"/>
              <w:bottom w:w="120" w:type="dxa"/>
              <w:start w:w="160" w:type="dxa"/>
              <w:end w:w="160" w:type="dxa"/>
            </w:tcMar>
          </w:tcPr>
          <w:p>
            <w:pPr>
              <w:spacing w:after="0"/>
            </w:pPr>
            <w:r>
              <w:rPr>
                <w:rFonts w:ascii="Calibri" w:hAnsi="Calibri"/>
                <w:b w:val="0"/>
                <w:i w:val="0"/>
                <w:color w:val="07343B"/>
                <w:sz w:val="22"/>
              </w:rPr>
              <w:t xml:space="preserve">⚠️ </w:t>
            </w:r>
            <w:r>
              <w:rPr>
                <w:rFonts w:ascii="Calibri" w:hAnsi="Calibri"/>
                <w:b/>
                <w:i w:val="0"/>
                <w:color w:val="07343B"/>
                <w:sz w:val="22"/>
              </w:rPr>
              <w:t>Safety notice — never-automate tasks.</w:t>
            </w:r>
            <w:r>
              <w:rPr>
                <w:rFonts w:ascii="Calibri" w:hAnsi="Calibri"/>
                <w:b w:val="0"/>
                <w:i w:val="0"/>
                <w:color w:val="07343B"/>
                <w:sz w:val="22"/>
              </w:rPr>
              <w:t xml:space="preserve"> AI must never be used to make final decisions on the following: - Patient clinical diagnosis or treatment plans. - Fitness to practise outcomes or student pass/fail results. - Safeguarding decisions or determining mental capacity. - HR disciplinary outcomes or formal judging of misconduct.</w:t>
            </w:r>
          </w:p>
        </w:tc>
      </w:tr>
    </w:tbl>
    <w:p/>
    <w:p>
      <w:r>
        <w:rPr>
          <w:rFonts w:ascii="Calibri" w:hAnsi="Calibri"/>
          <w:b/>
          <w:i w:val="0"/>
          <w:color w:val="1A1A1A"/>
          <w:sz w:val="22"/>
        </w:rPr>
        <w:t>Professional warning:</w:t>
      </w:r>
      <w:r>
        <w:rPr>
          <w:rFonts w:ascii="Calibri" w:hAnsi="Calibri"/>
          <w:b w:val="0"/>
          <w:i w:val="0"/>
          <w:color w:val="1A1A1A"/>
          <w:sz w:val="22"/>
        </w:rPr>
        <w:t xml:space="preserve"> Attempting to automate these final judgments is a breach of professional standards and may lead to a referral to the NMC or equivalent regulatory body. AI supports the workflow; the nurse owns the judgment.</w:t>
      </w:r>
    </w:p>
    <w:p>
      <w:pPr>
        <w:pStyle w:val="Heading2"/>
      </w:pPr>
      <w:r>
        <w:t>8. Conclusion: becoming a practice architect</w:t>
      </w:r>
    </w:p>
    <w:p>
      <w:r>
        <w:rPr>
          <w:rFonts w:ascii="Calibri" w:hAnsi="Calibri"/>
          <w:b w:val="0"/>
          <w:i w:val="0"/>
          <w:color w:val="1A1A1A"/>
          <w:sz w:val="22"/>
        </w:rPr>
        <w:t xml:space="preserve">The goal of the Nursing Citizen Developer is not to become a software engineer, but to become a </w:t>
      </w:r>
      <w:r>
        <w:rPr>
          <w:rFonts w:ascii="Calibri" w:hAnsi="Calibri"/>
          <w:b/>
          <w:i w:val="0"/>
          <w:color w:val="1A1A1A"/>
          <w:sz w:val="22"/>
        </w:rPr>
        <w:t>designer of intelligent practice systems</w:t>
      </w:r>
      <w:r>
        <w:rPr>
          <w:rFonts w:ascii="Calibri" w:hAnsi="Calibri"/>
          <w:b w:val="0"/>
          <w:i w:val="0"/>
          <w:color w:val="1A1A1A"/>
          <w:sz w:val="22"/>
        </w:rPr>
        <w:t>. By shifting your focus from "What prompt should I use?" to "What workflow am I improving?", you ensure technology serves the high standards of our profession rather than undermining them.</w:t>
      </w:r>
    </w:p>
    <w:p>
      <w:r>
        <w:rPr>
          <w:rFonts w:ascii="Calibri" w:hAnsi="Calibri"/>
          <w:b/>
          <w:i w:val="0"/>
          <w:color w:val="1A1A1A"/>
          <w:sz w:val="22"/>
        </w:rPr>
        <w:t>Critical takeaways</w:t>
      </w:r>
    </w:p>
    <w:p>
      <w:pPr>
        <w:pStyle w:val="ListBullet"/>
      </w:pPr>
      <w:r>
        <w:rPr>
          <w:rFonts w:ascii="Calibri" w:hAnsi="Calibri"/>
          <w:b/>
          <w:i w:val="0"/>
          <w:color w:val="1A1A1A"/>
          <w:sz w:val="22"/>
        </w:rPr>
        <w:t>Loops over prompts:</w:t>
      </w:r>
      <w:r>
        <w:rPr>
          <w:rFonts w:ascii="Calibri" w:hAnsi="Calibri"/>
          <w:b w:val="0"/>
          <w:i w:val="0"/>
          <w:color w:val="1A1A1A"/>
          <w:sz w:val="22"/>
        </w:rPr>
        <w:t xml:space="preserve"> Move from one-off instructions to repeatable, self-checking cycles.</w:t>
      </w:r>
    </w:p>
    <w:p>
      <w:pPr>
        <w:pStyle w:val="ListBullet"/>
      </w:pPr>
      <w:r>
        <w:rPr>
          <w:rFonts w:ascii="Calibri" w:hAnsi="Calibri"/>
          <w:b/>
          <w:i w:val="0"/>
          <w:color w:val="1A1A1A"/>
          <w:sz w:val="22"/>
        </w:rPr>
        <w:t>Standards are shields:</w:t>
      </w:r>
      <w:r>
        <w:rPr>
          <w:rFonts w:ascii="Calibri" w:hAnsi="Calibri"/>
          <w:b w:val="0"/>
          <w:i w:val="0"/>
          <w:color w:val="1A1A1A"/>
          <w:sz w:val="22"/>
        </w:rPr>
        <w:t xml:space="preserve"> Use the NMC Code and Trust Policy as the "anchor" for all AI-generated work to protect your practice.</w:t>
      </w:r>
    </w:p>
    <w:p>
      <w:pPr>
        <w:pStyle w:val="ListBullet"/>
      </w:pPr>
      <w:r>
        <w:rPr>
          <w:rFonts w:ascii="Calibri" w:hAnsi="Calibri"/>
          <w:b/>
          <w:i w:val="0"/>
          <w:color w:val="1A1A1A"/>
          <w:sz w:val="22"/>
        </w:rPr>
        <w:t>Audit the AI:</w:t>
      </w:r>
      <w:r>
        <w:rPr>
          <w:rFonts w:ascii="Calibri" w:hAnsi="Calibri"/>
          <w:b w:val="0"/>
          <w:i w:val="0"/>
          <w:color w:val="1A1A1A"/>
          <w:sz w:val="22"/>
        </w:rPr>
        <w:t xml:space="preserve"> Verification is the heart of safety. Always check for "quiet failures" like bias or the confusion of conduct with capability.</w:t>
      </w:r>
    </w:p>
    <w:p>
      <w:pPr>
        <w:pStyle w:val="ListBullet"/>
      </w:pPr>
      <w:r>
        <w:rPr>
          <w:rFonts w:ascii="Calibri" w:hAnsi="Calibri"/>
          <w:b/>
          <w:i w:val="0"/>
          <w:color w:val="1A1A1A"/>
          <w:sz w:val="22"/>
        </w:rPr>
        <w:t>Your first step:</w:t>
      </w:r>
      <w:r>
        <w:rPr>
          <w:rFonts w:ascii="Calibri" w:hAnsi="Calibri"/>
          <w:b w:val="0"/>
          <w:i w:val="0"/>
          <w:color w:val="1A1A1A"/>
          <w:sz w:val="22"/>
        </w:rPr>
        <w:t xml:space="preserve"> Do not wait for complex automation. Identify one repeated task this week — perhaps a meeting summary or an action plan — and run it as a Manual Practice Loop. Use a verification checklist to score the AI's work. By starting with professional rigour, you transform AI from a chatbot into a safer, fairer, and more efficient partner in care.</w:t>
      </w:r>
    </w:p>
    <w:p>
      <w:r>
        <w:rPr>
          <w:rFonts w:ascii="Calibri" w:hAnsi="Calibri"/>
          <w:b w:val="0"/>
          <w:i/>
          <w:color w:val="1A1A1A"/>
          <w:sz w:val="22"/>
        </w:rPr>
        <w:t>Nursing Citizen Development · Practice Loops framework by Lincoln Gombedza.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mbria" w:hAnsi="Cambria"/>
      <w:b/>
      <w:bCs/>
      <w:color w:val="026A76"/>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mbria" w:hAnsi="Cambria"/>
      <w:b/>
      <w:bCs/>
      <w:color w:val="026A76"/>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mbria" w:hAnsi="Cambria"/>
      <w:b/>
      <w:bCs/>
      <w:color w:val="07343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