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mbria" w:hAnsi="Cambria"/>
          <w:b/>
          <w:color w:val="07343B"/>
          <w:sz w:val="60"/>
        </w:rPr>
        <w:t>Strategic Governance Framework</w:t>
      </w:r>
    </w:p>
    <w:p>
      <w:pPr>
        <w:jc w:val="center"/>
      </w:pPr>
      <w:r>
        <w:rPr>
          <w:rFonts w:ascii="Calibri" w:hAnsi="Calibri"/>
          <w:i/>
          <w:color w:val="5A6B6E"/>
          <w:sz w:val="30"/>
        </w:rPr>
        <w:t>for Nursing Citizen Development (NCD) and Practice Loops</w:t>
      </w:r>
    </w:p>
    <w:p/>
    <w:p/>
    <w:p>
      <w:pPr>
        <w:jc w:val="center"/>
      </w:pPr>
      <w:r>
        <w:rPr>
          <w:rFonts w:ascii="Calibri" w:hAnsi="Calibri"/>
          <w:b/>
          <w:color w:val="026A76"/>
          <w:sz w:val="24"/>
        </w:rPr>
        <w:t>Nursing Citizen Development  ·  Framework by Lincoln Gombedza</w:t>
      </w:r>
    </w:p>
    <w:p>
      <w:r>
        <w:br w:type="page"/>
      </w:r>
    </w:p>
    <w:p>
      <w:pPr>
        <w:pStyle w:val="Heading2"/>
      </w:pPr>
      <w:r>
        <w:t>1. Executive mandate: from AI assistance to practice architecture</w:t>
      </w:r>
    </w:p>
    <w:p>
      <w:r>
        <w:rPr>
          <w:rFonts w:ascii="Calibri" w:hAnsi="Calibri"/>
          <w:b w:val="0"/>
          <w:i w:val="0"/>
          <w:color w:val="1A1A1A"/>
          <w:sz w:val="22"/>
        </w:rPr>
        <w:t xml:space="preserve">The nursing profession is at a critical juncture in its digital evolution. We are moving beyond the era of "AI as a reactive assistant" — where tools are used for ad-hoc, isolated tasks — toward a strategic model of </w:t>
      </w:r>
      <w:r>
        <w:rPr>
          <w:rFonts w:ascii="Calibri" w:hAnsi="Calibri"/>
          <w:b/>
          <w:i w:val="0"/>
          <w:color w:val="1A1A1A"/>
          <w:sz w:val="22"/>
        </w:rPr>
        <w:t>Nursing Citizen Development (NCD)</w:t>
      </w:r>
      <w:r>
        <w:rPr>
          <w:rFonts w:ascii="Calibri" w:hAnsi="Calibri"/>
          <w:b w:val="0"/>
          <w:i w:val="0"/>
          <w:color w:val="1A1A1A"/>
          <w:sz w:val="22"/>
        </w:rPr>
        <w:t>. In this framework, AI is treated as a "structured workflow partner." NCD empowers nursing professionals to move from passive consumption of technology to the active architecture of intelligent practice systems. By designing "Practice Loops," nurses ensure that digital automation is not merely a layer of convenience but a governed, repeatable, and clinically safe extension of professional practice.</w:t>
      </w:r>
    </w:p>
    <w:p>
      <w:pPr>
        <w:pStyle w:val="Heading3"/>
      </w:pPr>
      <w:r>
        <w:t>The three levels of AI use</w:t>
      </w:r>
    </w:p>
    <w:p>
      <w:r>
        <w:rPr>
          <w:rFonts w:ascii="Calibri" w:hAnsi="Calibri"/>
          <w:b w:val="0"/>
          <w:i w:val="0"/>
          <w:color w:val="1A1A1A"/>
          <w:sz w:val="22"/>
        </w:rPr>
        <w:t>To drive institutional productivity, we categorise AI integration into three strategic levels: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tcMar>
              <w:top w:w="60" w:type="dxa"/>
              <w:bottom w:w="60" w:type="dxa"/>
              <w:start w:w="120" w:type="dxa"/>
              <w:end w:w="120" w:type="dxa"/>
            </w:tcMar>
            <w:shd w:val="clear" w:color="auto" w:fill="026A76"/>
          </w:tcPr>
          <w:p>
            <w:pPr>
              <w:spacing w:after="0"/>
            </w:pPr>
            <w:r>
              <w:rPr>
                <w:rFonts w:ascii="Calibri" w:hAnsi="Calibri"/>
                <w:b/>
                <w:i w:val="0"/>
                <w:color w:val="FFFFFF"/>
                <w:sz w:val="21"/>
              </w:rPr>
              <w:t>Level</w:t>
            </w:r>
          </w:p>
        </w:tc>
        <w:tc>
          <w:tcPr>
            <w:tcW w:type="dxa" w:w="2412"/>
            <w:tcMar>
              <w:top w:w="60" w:type="dxa"/>
              <w:bottom w:w="60" w:type="dxa"/>
              <w:start w:w="120" w:type="dxa"/>
              <w:end w:w="120" w:type="dxa"/>
            </w:tcMar>
            <w:shd w:val="clear" w:color="auto" w:fill="026A76"/>
          </w:tcPr>
          <w:p>
            <w:pPr>
              <w:spacing w:after="0"/>
            </w:pPr>
            <w:r>
              <w:rPr>
                <w:rFonts w:ascii="Calibri" w:hAnsi="Calibri"/>
                <w:b/>
                <w:i w:val="0"/>
                <w:color w:val="FFFFFF"/>
                <w:sz w:val="21"/>
              </w:rPr>
              <w:t>AI role</w:t>
            </w:r>
          </w:p>
        </w:tc>
        <w:tc>
          <w:tcPr>
            <w:tcW w:type="dxa" w:w="2412"/>
            <w:tcMar>
              <w:top w:w="60" w:type="dxa"/>
              <w:bottom w:w="60" w:type="dxa"/>
              <w:start w:w="120" w:type="dxa"/>
              <w:end w:w="120" w:type="dxa"/>
            </w:tcMar>
            <w:shd w:val="clear" w:color="auto" w:fill="026A76"/>
          </w:tcPr>
          <w:p>
            <w:pPr>
              <w:spacing w:after="0"/>
            </w:pPr>
            <w:r>
              <w:rPr>
                <w:rFonts w:ascii="Calibri" w:hAnsi="Calibri"/>
                <w:b/>
                <w:i w:val="0"/>
                <w:color w:val="FFFFFF"/>
                <w:sz w:val="21"/>
              </w:rPr>
              <w:t>User interaction</w:t>
            </w:r>
          </w:p>
        </w:tc>
        <w:tc>
          <w:tcPr>
            <w:tcW w:type="dxa" w:w="2412"/>
            <w:tcMar>
              <w:top w:w="60" w:type="dxa"/>
              <w:bottom w:w="60" w:type="dxa"/>
              <w:start w:w="120" w:type="dxa"/>
              <w:end w:w="120" w:type="dxa"/>
            </w:tcMar>
            <w:shd w:val="clear" w:color="auto" w:fill="026A76"/>
          </w:tcPr>
          <w:p>
            <w:pPr>
              <w:spacing w:after="0"/>
            </w:pPr>
            <w:r>
              <w:rPr>
                <w:rFonts w:ascii="Calibri" w:hAnsi="Calibri"/>
                <w:b/>
                <w:i w:val="0"/>
                <w:color w:val="FFFFFF"/>
                <w:sz w:val="21"/>
              </w:rPr>
              <w:t>Strategic impact on nursing productivity</w:t>
            </w:r>
          </w:p>
        </w:tc>
      </w:tr>
      <w:tr>
        <w:tc>
          <w:tcPr>
            <w:tcW w:type="dxa" w:w="2412"/>
            <w:tcMar>
              <w:top w:w="60" w:type="dxa"/>
              <w:bottom w:w="60" w:type="dxa"/>
              <w:start w:w="120" w:type="dxa"/>
              <w:end w:w="120" w:type="dxa"/>
            </w:tcMar>
          </w:tcPr>
          <w:p>
            <w:pPr>
              <w:spacing w:after="0"/>
            </w:pPr>
            <w:r>
              <w:rPr>
                <w:rFonts w:ascii="Calibri" w:hAnsi="Calibri"/>
                <w:b w:val="0"/>
                <w:i w:val="0"/>
                <w:color w:val="1A1A1A"/>
                <w:sz w:val="21"/>
              </w:rPr>
              <w:t>Level 1</w:t>
            </w:r>
          </w:p>
        </w:tc>
        <w:tc>
          <w:tcPr>
            <w:tcW w:type="dxa" w:w="2412"/>
            <w:tcMar>
              <w:top w:w="60" w:type="dxa"/>
              <w:bottom w:w="60" w:type="dxa"/>
              <w:start w:w="120" w:type="dxa"/>
              <w:end w:w="120" w:type="dxa"/>
            </w:tcMar>
          </w:tcPr>
          <w:p>
            <w:pPr>
              <w:spacing w:after="0"/>
            </w:pPr>
            <w:r>
              <w:rPr>
                <w:rFonts w:ascii="Calibri" w:hAnsi="Calibri"/>
                <w:b w:val="0"/>
                <w:i w:val="0"/>
                <w:color w:val="1A1A1A"/>
                <w:sz w:val="21"/>
              </w:rPr>
              <w:t>Assistant</w:t>
            </w:r>
          </w:p>
        </w:tc>
        <w:tc>
          <w:tcPr>
            <w:tcW w:type="dxa" w:w="2412"/>
            <w:tcMar>
              <w:top w:w="60" w:type="dxa"/>
              <w:bottom w:w="60" w:type="dxa"/>
              <w:start w:w="120" w:type="dxa"/>
              <w:end w:w="120" w:type="dxa"/>
            </w:tcMar>
          </w:tcPr>
          <w:p>
            <w:pPr>
              <w:spacing w:after="0"/>
            </w:pPr>
            <w:r>
              <w:rPr>
                <w:rFonts w:ascii="Calibri" w:hAnsi="Calibri"/>
                <w:b w:val="0"/>
                <w:i w:val="0"/>
                <w:color w:val="1A1A1A"/>
                <w:sz w:val="21"/>
              </w:rPr>
              <w:t>Simple request-response (e.g., "Summarise this policy").</w:t>
            </w:r>
          </w:p>
        </w:tc>
        <w:tc>
          <w:tcPr>
            <w:tcW w:type="dxa" w:w="2412"/>
            <w:tcMar>
              <w:top w:w="60" w:type="dxa"/>
              <w:bottom w:w="60" w:type="dxa"/>
              <w:start w:w="120" w:type="dxa"/>
              <w:end w:w="120" w:type="dxa"/>
            </w:tcMar>
          </w:tcPr>
          <w:p>
            <w:pPr>
              <w:spacing w:after="0"/>
            </w:pPr>
            <w:r>
              <w:rPr>
                <w:rFonts w:ascii="Calibri" w:hAnsi="Calibri"/>
                <w:b/>
                <w:i w:val="0"/>
                <w:color w:val="1A1A1A"/>
                <w:sz w:val="21"/>
              </w:rPr>
              <w:t>Low:</w:t>
            </w:r>
            <w:r>
              <w:rPr>
                <w:rFonts w:ascii="Calibri" w:hAnsi="Calibri"/>
                <w:b w:val="0"/>
                <w:i w:val="0"/>
                <w:color w:val="1A1A1A"/>
                <w:sz w:val="21"/>
              </w:rPr>
              <w:t xml:space="preserve"> High cognitive load; requires constant human input to move forward.</w:t>
            </w:r>
          </w:p>
        </w:tc>
      </w:tr>
      <w:tr>
        <w:tc>
          <w:tcPr>
            <w:tcW w:type="dxa" w:w="2412"/>
            <w:tcMar>
              <w:top w:w="60" w:type="dxa"/>
              <w:bottom w:w="60" w:type="dxa"/>
              <w:start w:w="120" w:type="dxa"/>
              <w:end w:w="120" w:type="dxa"/>
            </w:tcMar>
            <w:shd w:val="clear" w:color="auto" w:fill="F1F7F7"/>
          </w:tcPr>
          <w:p>
            <w:pPr>
              <w:spacing w:after="0"/>
            </w:pPr>
            <w:r>
              <w:rPr>
                <w:rFonts w:ascii="Calibri" w:hAnsi="Calibri"/>
                <w:b w:val="0"/>
                <w:i w:val="0"/>
                <w:color w:val="1A1A1A"/>
                <w:sz w:val="21"/>
              </w:rPr>
              <w:t>Level 2</w:t>
            </w:r>
          </w:p>
        </w:tc>
        <w:tc>
          <w:tcPr>
            <w:tcW w:type="dxa" w:w="2412"/>
            <w:tcMar>
              <w:top w:w="60" w:type="dxa"/>
              <w:bottom w:w="60" w:type="dxa"/>
              <w:start w:w="120" w:type="dxa"/>
              <w:end w:w="120" w:type="dxa"/>
            </w:tcMar>
            <w:shd w:val="clear" w:color="auto" w:fill="F1F7F7"/>
          </w:tcPr>
          <w:p>
            <w:pPr>
              <w:spacing w:after="0"/>
            </w:pPr>
            <w:r>
              <w:rPr>
                <w:rFonts w:ascii="Calibri" w:hAnsi="Calibri"/>
                <w:b w:val="0"/>
                <w:i w:val="0"/>
                <w:color w:val="1A1A1A"/>
                <w:sz w:val="21"/>
              </w:rPr>
              <w:t>Structured helper</w:t>
            </w:r>
          </w:p>
        </w:tc>
        <w:tc>
          <w:tcPr>
            <w:tcW w:type="dxa" w:w="2412"/>
            <w:tcMar>
              <w:top w:w="60" w:type="dxa"/>
              <w:bottom w:w="60" w:type="dxa"/>
              <w:start w:w="120" w:type="dxa"/>
              <w:end w:w="120" w:type="dxa"/>
            </w:tcMar>
            <w:shd w:val="clear" w:color="auto" w:fill="F1F7F7"/>
          </w:tcPr>
          <w:p>
            <w:pPr>
              <w:spacing w:after="0"/>
            </w:pPr>
            <w:r>
              <w:rPr>
                <w:rFonts w:ascii="Calibri" w:hAnsi="Calibri"/>
                <w:b w:val="0"/>
                <w:i w:val="0"/>
                <w:color w:val="1A1A1A"/>
                <w:sz w:val="21"/>
              </w:rPr>
              <w:t>Task-based with specific criteria (e.g., "Summarise and map to NMC Code").</w:t>
            </w:r>
          </w:p>
        </w:tc>
        <w:tc>
          <w:tcPr>
            <w:tcW w:type="dxa" w:w="2412"/>
            <w:tcMar>
              <w:top w:w="60" w:type="dxa"/>
              <w:bottom w:w="60" w:type="dxa"/>
              <w:start w:w="120" w:type="dxa"/>
              <w:end w:w="120" w:type="dxa"/>
            </w:tcMar>
            <w:shd w:val="clear" w:color="auto" w:fill="F1F7F7"/>
          </w:tcPr>
          <w:p>
            <w:pPr>
              <w:spacing w:after="0"/>
            </w:pPr>
            <w:r>
              <w:rPr>
                <w:rFonts w:ascii="Calibri" w:hAnsi="Calibri"/>
                <w:b/>
                <w:i w:val="0"/>
                <w:color w:val="1A1A1A"/>
                <w:sz w:val="21"/>
              </w:rPr>
              <w:t>Moderate:</w:t>
            </w:r>
            <w:r>
              <w:rPr>
                <w:rFonts w:ascii="Calibri" w:hAnsi="Calibri"/>
                <w:b w:val="0"/>
                <w:i w:val="0"/>
                <w:color w:val="1A1A1A"/>
                <w:sz w:val="21"/>
              </w:rPr>
              <w:t xml:space="preserve"> Improves consistency but lacks a self-correcting cycle or audit trail.</w:t>
            </w:r>
          </w:p>
        </w:tc>
      </w:tr>
      <w:tr>
        <w:tc>
          <w:tcPr>
            <w:tcW w:type="dxa" w:w="2412"/>
            <w:tcMar>
              <w:top w:w="60" w:type="dxa"/>
              <w:bottom w:w="60" w:type="dxa"/>
              <w:start w:w="120" w:type="dxa"/>
              <w:end w:w="120" w:type="dxa"/>
            </w:tcMar>
          </w:tcPr>
          <w:p>
            <w:pPr>
              <w:spacing w:after="0"/>
            </w:pPr>
            <w:r>
              <w:rPr>
                <w:rFonts w:ascii="Calibri" w:hAnsi="Calibri"/>
                <w:b w:val="0"/>
                <w:i w:val="0"/>
                <w:color w:val="1A1A1A"/>
                <w:sz w:val="21"/>
              </w:rPr>
              <w:t>Level 3</w:t>
            </w:r>
          </w:p>
        </w:tc>
        <w:tc>
          <w:tcPr>
            <w:tcW w:type="dxa" w:w="2412"/>
            <w:tcMar>
              <w:top w:w="60" w:type="dxa"/>
              <w:bottom w:w="60" w:type="dxa"/>
              <w:start w:w="120" w:type="dxa"/>
              <w:end w:w="120" w:type="dxa"/>
            </w:tcMar>
          </w:tcPr>
          <w:p>
            <w:pPr>
              <w:spacing w:after="0"/>
            </w:pPr>
            <w:r>
              <w:rPr>
                <w:rFonts w:ascii="Calibri" w:hAnsi="Calibri"/>
                <w:b w:val="0"/>
                <w:i w:val="0"/>
                <w:color w:val="1A1A1A"/>
                <w:sz w:val="21"/>
              </w:rPr>
              <w:t>Practice loop</w:t>
            </w:r>
          </w:p>
        </w:tc>
        <w:tc>
          <w:tcPr>
            <w:tcW w:type="dxa" w:w="2412"/>
            <w:tcMar>
              <w:top w:w="60" w:type="dxa"/>
              <w:bottom w:w="60" w:type="dxa"/>
              <w:start w:w="120" w:type="dxa"/>
              <w:end w:w="120" w:type="dxa"/>
            </w:tcMar>
          </w:tcPr>
          <w:p>
            <w:pPr>
              <w:spacing w:after="0"/>
            </w:pPr>
            <w:r>
              <w:rPr>
                <w:rFonts w:ascii="Calibri" w:hAnsi="Calibri"/>
                <w:b w:val="0"/>
                <w:i w:val="0"/>
                <w:color w:val="1A1A1A"/>
                <w:sz w:val="21"/>
              </w:rPr>
              <w:t>Repeated, automated workflow with verification and stopping rules.</w:t>
            </w:r>
          </w:p>
        </w:tc>
        <w:tc>
          <w:tcPr>
            <w:tcW w:type="dxa" w:w="2412"/>
            <w:tcMar>
              <w:top w:w="60" w:type="dxa"/>
              <w:bottom w:w="60" w:type="dxa"/>
              <w:start w:w="120" w:type="dxa"/>
              <w:end w:w="120" w:type="dxa"/>
            </w:tcMar>
          </w:tcPr>
          <w:p>
            <w:pPr>
              <w:spacing w:after="0"/>
            </w:pPr>
            <w:r>
              <w:rPr>
                <w:rFonts w:ascii="Calibri" w:hAnsi="Calibri"/>
                <w:b/>
                <w:i w:val="0"/>
                <w:color w:val="1A1A1A"/>
                <w:sz w:val="21"/>
              </w:rPr>
              <w:t>High:</w:t>
            </w:r>
            <w:r>
              <w:rPr>
                <w:rFonts w:ascii="Calibri" w:hAnsi="Calibri"/>
                <w:b w:val="0"/>
                <w:i w:val="0"/>
                <w:color w:val="1A1A1A"/>
                <w:sz w:val="21"/>
              </w:rPr>
              <w:t xml:space="preserve"> Removes administrative friction through governed, repeatable, and self-improving cycles.</w:t>
            </w:r>
          </w:p>
        </w:tc>
      </w:tr>
    </w:tbl>
    <w:p/>
    <w:p>
      <w:pPr>
        <w:pStyle w:val="Heading3"/>
      </w:pPr>
      <w:r>
        <w:t>Defining the practice loop</w:t>
      </w:r>
    </w:p>
    <w:p>
      <w:r>
        <w:rPr>
          <w:rFonts w:ascii="Calibri" w:hAnsi="Calibri"/>
          <w:b w:val="0"/>
          <w:i w:val="0"/>
          <w:color w:val="1A1A1A"/>
          <w:sz w:val="22"/>
        </w:rPr>
        <w:t>A Practice Loop is a repeatable, AI-supported workflow grounded in professional standards. It is a structured cycle where AI works toward a defined goal, checks its output against a specific professional standard, improves identified weaknesses through internal iteration, and stops only when the work meets a pre-defined quality threshold or requires human intervention.</w:t>
      </w:r>
    </w:p>
    <w:p>
      <w:r>
        <w:rPr>
          <w:rFonts w:ascii="Calibri" w:hAnsi="Calibri"/>
          <w:b w:val="0"/>
          <w:i w:val="0"/>
          <w:color w:val="1A1A1A"/>
          <w:sz w:val="22"/>
        </w:rPr>
        <w:t>This framework serves as the "connective tissue" between deep clinical expertise and digital automation. It ensures that technology remains subordinate to the nursing process — Assessing, Planning, Intervening, Evaluating, and Adjusting — ensuring safety remains the primary driver of innovation.</w:t>
      </w:r>
    </w:p>
    <w:p>
      <w:pPr>
        <w:pStyle w:val="Heading2"/>
      </w:pPr>
      <w:r>
        <w:t>2. The six pillars of the practice loop model</w:t>
      </w:r>
    </w:p>
    <w:p>
      <w:r>
        <w:rPr>
          <w:rFonts w:ascii="Calibri" w:hAnsi="Calibri"/>
          <w:b w:val="0"/>
          <w:i w:val="0"/>
          <w:color w:val="1A1A1A"/>
          <w:sz w:val="22"/>
        </w:rPr>
        <w:t>Relying on manual, one-off prompting creates a "productivity ceiling" and introduces unacceptable variance into clinical and educational workflows. To move beyond this, we mandate a structured 6-pillar model for all Nursing Citizen Development. This architecture ensures that AI outputs are not merely fluent, but safe, accurate, and aligned with the rigorous demands of the healthcare environment.</w:t>
      </w:r>
    </w:p>
    <w:p>
      <w:pPr>
        <w:pStyle w:val="Heading3"/>
      </w:pPr>
      <w:r>
        <w:t>The six components</w:t>
      </w:r>
    </w:p>
    <w:p>
      <w:pPr>
        <w:pStyle w:val="ListNumber"/>
      </w:pPr>
      <w:r>
        <w:rPr>
          <w:rFonts w:ascii="Calibri" w:hAnsi="Calibri"/>
          <w:b/>
          <w:i w:val="0"/>
          <w:color w:val="1A1A1A"/>
          <w:sz w:val="22"/>
        </w:rPr>
        <w:t>Trigger:</w:t>
      </w:r>
      <w:r>
        <w:rPr>
          <w:rFonts w:ascii="Calibri" w:hAnsi="Calibri"/>
          <w:b w:val="0"/>
          <w:i w:val="0"/>
          <w:color w:val="1A1A1A"/>
          <w:sz w:val="22"/>
        </w:rPr>
        <w:t xml:space="preserve"> The mechanism that initiates the workflow.</w:t>
      </w:r>
    </w:p>
    <w:p>
      <w:pPr>
        <w:pStyle w:val="ListBullet"/>
      </w:pPr>
      <w:r>
        <w:rPr>
          <w:rFonts w:ascii="Calibri" w:hAnsi="Calibri"/>
          <w:b w:val="0"/>
          <w:i/>
          <w:color w:val="1A1A1A"/>
          <w:sz w:val="22"/>
        </w:rPr>
        <w:t>Manual:</w:t>
      </w:r>
      <w:r>
        <w:rPr>
          <w:rFonts w:ascii="Calibri" w:hAnsi="Calibri"/>
          <w:b w:val="0"/>
          <w:i w:val="0"/>
          <w:color w:val="1A1A1A"/>
          <w:sz w:val="22"/>
        </w:rPr>
        <w:t xml:space="preserve"> A nurse initiates the process (e.g., uploading a meeting transcript).</w:t>
      </w:r>
    </w:p>
    <w:p>
      <w:pPr>
        <w:pStyle w:val="ListBullet"/>
      </w:pPr>
      <w:r>
        <w:rPr>
          <w:rFonts w:ascii="Calibri" w:hAnsi="Calibri"/>
          <w:b w:val="0"/>
          <w:i/>
          <w:color w:val="1A1A1A"/>
          <w:sz w:val="22"/>
        </w:rPr>
        <w:t>Automated:</w:t>
      </w:r>
      <w:r>
        <w:rPr>
          <w:rFonts w:ascii="Calibri" w:hAnsi="Calibri"/>
          <w:b w:val="0"/>
          <w:i w:val="0"/>
          <w:color w:val="1A1A1A"/>
          <w:sz w:val="22"/>
        </w:rPr>
        <w:t xml:space="preserve"> System-generated starts (e.g., a recurring review date or an incoming email).</w:t>
      </w:r>
    </w:p>
    <w:p>
      <w:pPr>
        <w:pStyle w:val="ListNumber"/>
      </w:pPr>
      <w:r>
        <w:rPr>
          <w:rFonts w:ascii="Calibri" w:hAnsi="Calibri"/>
          <w:b/>
          <w:i w:val="0"/>
          <w:color w:val="1A1A1A"/>
          <w:sz w:val="22"/>
        </w:rPr>
        <w:t>Task:</w:t>
      </w:r>
      <w:r>
        <w:rPr>
          <w:rFonts w:ascii="Calibri" w:hAnsi="Calibri"/>
          <w:b w:val="0"/>
          <w:i w:val="0"/>
          <w:color w:val="1A1A1A"/>
          <w:sz w:val="22"/>
        </w:rPr>
        <w:t xml:space="preserve"> A specific, boundaried description of the work.</w:t>
      </w:r>
    </w:p>
    <w:p>
      <w:pPr>
        <w:pStyle w:val="ListBullet"/>
      </w:pPr>
      <w:r>
        <w:rPr>
          <w:rFonts w:ascii="Calibri" w:hAnsi="Calibri"/>
          <w:b w:val="0"/>
          <w:i/>
          <w:color w:val="1A1A1A"/>
          <w:sz w:val="22"/>
        </w:rPr>
        <w:t>Weak task:</w:t>
      </w:r>
      <w:r>
        <w:rPr>
          <w:rFonts w:ascii="Calibri" w:hAnsi="Calibri"/>
          <w:b w:val="0"/>
          <w:i w:val="0"/>
          <w:color w:val="1A1A1A"/>
          <w:sz w:val="22"/>
        </w:rPr>
        <w:t xml:space="preserve"> "Help with this student."</w:t>
      </w:r>
    </w:p>
    <w:p>
      <w:pPr>
        <w:pStyle w:val="ListBullet"/>
      </w:pPr>
      <w:r>
        <w:rPr>
          <w:rFonts w:ascii="Calibri" w:hAnsi="Calibri"/>
          <w:b w:val="0"/>
          <w:i/>
          <w:color w:val="1A1A1A"/>
          <w:sz w:val="22"/>
        </w:rPr>
        <w:t>Better task:</w:t>
      </w:r>
      <w:r>
        <w:rPr>
          <w:rFonts w:ascii="Calibri" w:hAnsi="Calibri"/>
          <w:b w:val="0"/>
          <w:i w:val="0"/>
          <w:color w:val="1A1A1A"/>
          <w:sz w:val="22"/>
        </w:rPr>
        <w:t xml:space="preserve"> "Review the placement support meeting notes and create a draft SMART action plan that separates learning needs, health considerations, and conduct concerns."</w:t>
      </w:r>
    </w:p>
    <w:p>
      <w:pPr>
        <w:pStyle w:val="ListNumber"/>
      </w:pPr>
      <w:r>
        <w:rPr>
          <w:rFonts w:ascii="Calibri" w:hAnsi="Calibri"/>
          <w:b/>
          <w:i w:val="0"/>
          <w:color w:val="1A1A1A"/>
          <w:sz w:val="22"/>
        </w:rPr>
        <w:t>Standard:</w:t>
      </w:r>
      <w:r>
        <w:rPr>
          <w:rFonts w:ascii="Calibri" w:hAnsi="Calibri"/>
          <w:b w:val="0"/>
          <w:i w:val="0"/>
          <w:color w:val="1A1A1A"/>
          <w:sz w:val="22"/>
        </w:rPr>
        <w:t xml:space="preserve"> The professional benchmarks the output must meet. This includes the NMC Code, Trust policies, Standards of Proficiency, and Equality, Diversity, and Inclusion (EDI) principles.</w:t>
      </w:r>
    </w:p>
    <w:p>
      <w:pPr>
        <w:pStyle w:val="ListNumber"/>
      </w:pPr>
      <w:r>
        <w:rPr>
          <w:rFonts w:ascii="Calibri" w:hAnsi="Calibri"/>
          <w:b/>
          <w:i w:val="0"/>
          <w:color w:val="1A1A1A"/>
          <w:sz w:val="22"/>
        </w:rPr>
        <w:t>Verification:</w:t>
      </w:r>
      <w:r>
        <w:rPr>
          <w:rFonts w:ascii="Calibri" w:hAnsi="Calibri"/>
          <w:b w:val="0"/>
          <w:i w:val="0"/>
          <w:color w:val="1A1A1A"/>
          <w:sz w:val="22"/>
        </w:rPr>
        <w:t xml:space="preserve"> A structured check where the AI evaluates its own draft against the defined Standard.</w:t>
      </w:r>
    </w:p>
    <w:p>
      <w:pPr>
        <w:pStyle w:val="ListNumber"/>
      </w:pPr>
      <w:r>
        <w:rPr>
          <w:rFonts w:ascii="Calibri" w:hAnsi="Calibri"/>
          <w:b/>
          <w:i w:val="0"/>
          <w:color w:val="1A1A1A"/>
          <w:sz w:val="22"/>
        </w:rPr>
        <w:t>Iteration:</w:t>
      </w:r>
      <w:r>
        <w:rPr>
          <w:rFonts w:ascii="Calibri" w:hAnsi="Calibri"/>
          <w:b w:val="0"/>
          <w:i w:val="0"/>
          <w:color w:val="1A1A1A"/>
          <w:sz w:val="22"/>
        </w:rPr>
        <w:t xml:space="preserve"> The process of the AI revising its output based on the verification score to fix weaknesses before the professional reviews it.</w:t>
      </w:r>
    </w:p>
    <w:p>
      <w:pPr>
        <w:pStyle w:val="ListNumber"/>
      </w:pPr>
      <w:r>
        <w:rPr>
          <w:rFonts w:ascii="Calibri" w:hAnsi="Calibri"/>
          <w:b/>
          <w:i w:val="0"/>
          <w:color w:val="1A1A1A"/>
          <w:sz w:val="22"/>
        </w:rPr>
        <w:t>Human sign-off:</w:t>
      </w:r>
      <w:r>
        <w:rPr>
          <w:rFonts w:ascii="Calibri" w:hAnsi="Calibri"/>
          <w:b w:val="0"/>
          <w:i w:val="0"/>
          <w:color w:val="1A1A1A"/>
          <w:sz w:val="22"/>
        </w:rPr>
        <w:t xml:space="preserve"> The final governance gate where a professional assumes accountability for the output.</w:t>
      </w:r>
    </w:p>
    <w:p>
      <w:pPr>
        <w:pStyle w:val="Heading3"/>
      </w:pPr>
      <w:r>
        <w:t>Alignment with clinical logic</w:t>
      </w:r>
    </w:p>
    <w:p>
      <w:r>
        <w:rPr>
          <w:rFonts w:ascii="Calibri" w:hAnsi="Calibri"/>
          <w:b w:val="0"/>
          <w:i w:val="0"/>
          <w:color w:val="1A1A1A"/>
          <w:sz w:val="22"/>
        </w:rPr>
        <w:t>The Practice Loop model is explicitly mapped to the traditional nursing process to ensure alignment between clinical logic and digital design:</w:t>
      </w:r>
    </w:p>
    <w:tbl>
      <w:tblPr>
        <w:tblStyle w:val="TableGrid"/>
        <w:tblW w:type="auto" w:w="0"/>
        <w:jc w:val="center"/>
        <w:tblLook w:firstColumn="1" w:firstRow="1" w:lastColumn="0" w:lastRow="0" w:noHBand="0" w:noVBand="1" w:val="04A0"/>
      </w:tblPr>
      <w:tblGrid>
        <w:gridCol w:w="3216"/>
        <w:gridCol w:w="3216"/>
        <w:gridCol w:w="3216"/>
      </w:tblGrid>
      <w:tr>
        <w:tc>
          <w:tcPr>
            <w:tcW w:type="dxa" w:w="3216"/>
            <w:tcMar>
              <w:top w:w="60" w:type="dxa"/>
              <w:bottom w:w="60" w:type="dxa"/>
              <w:start w:w="120" w:type="dxa"/>
              <w:end w:w="120" w:type="dxa"/>
            </w:tcMar>
            <w:shd w:val="clear" w:color="auto" w:fill="026A76"/>
          </w:tcPr>
          <w:p>
            <w:pPr>
              <w:spacing w:after="0"/>
            </w:pPr>
            <w:r>
              <w:rPr>
                <w:rFonts w:ascii="Calibri" w:hAnsi="Calibri"/>
                <w:b/>
                <w:i w:val="0"/>
                <w:color w:val="FFFFFF"/>
                <w:sz w:val="21"/>
              </w:rPr>
              <w:t>Practice loop pillar</w:t>
            </w:r>
          </w:p>
        </w:tc>
        <w:tc>
          <w:tcPr>
            <w:tcW w:type="dxa" w:w="3216"/>
            <w:tcMar>
              <w:top w:w="60" w:type="dxa"/>
              <w:bottom w:w="60" w:type="dxa"/>
              <w:start w:w="120" w:type="dxa"/>
              <w:end w:w="120" w:type="dxa"/>
            </w:tcMar>
            <w:shd w:val="clear" w:color="auto" w:fill="026A76"/>
          </w:tcPr>
          <w:p>
            <w:pPr>
              <w:spacing w:after="0"/>
            </w:pPr>
            <w:r>
              <w:rPr>
                <w:rFonts w:ascii="Calibri" w:hAnsi="Calibri"/>
                <w:b/>
                <w:i w:val="0"/>
                <w:color w:val="FFFFFF"/>
                <w:sz w:val="21"/>
              </w:rPr>
              <w:t>Nursing process stage</w:t>
            </w:r>
          </w:p>
        </w:tc>
        <w:tc>
          <w:tcPr>
            <w:tcW w:type="dxa" w:w="3216"/>
            <w:tcMar>
              <w:top w:w="60" w:type="dxa"/>
              <w:bottom w:w="60" w:type="dxa"/>
              <w:start w:w="120" w:type="dxa"/>
              <w:end w:w="120" w:type="dxa"/>
            </w:tcMar>
            <w:shd w:val="clear" w:color="auto" w:fill="026A76"/>
          </w:tcPr>
          <w:p>
            <w:pPr>
              <w:spacing w:after="0"/>
            </w:pPr>
            <w:r>
              <w:rPr>
                <w:rFonts w:ascii="Calibri" w:hAnsi="Calibri"/>
                <w:b/>
                <w:i w:val="0"/>
                <w:color w:val="FFFFFF"/>
                <w:sz w:val="21"/>
              </w:rPr>
              <w:t>Strategic alignment</w:t>
            </w:r>
          </w:p>
        </w:tc>
      </w:tr>
      <w:tr>
        <w:tc>
          <w:tcPr>
            <w:tcW w:type="dxa" w:w="3216"/>
            <w:tcMar>
              <w:top w:w="60" w:type="dxa"/>
              <w:bottom w:w="60" w:type="dxa"/>
              <w:start w:w="120" w:type="dxa"/>
              <w:end w:w="120" w:type="dxa"/>
            </w:tcMar>
          </w:tcPr>
          <w:p>
            <w:pPr>
              <w:spacing w:after="0"/>
            </w:pPr>
            <w:r>
              <w:rPr>
                <w:rFonts w:ascii="Calibri" w:hAnsi="Calibri"/>
                <w:b w:val="0"/>
                <w:i w:val="0"/>
                <w:color w:val="1A1A1A"/>
                <w:sz w:val="21"/>
              </w:rPr>
              <w:t>Trigger / Task</w:t>
            </w:r>
          </w:p>
        </w:tc>
        <w:tc>
          <w:tcPr>
            <w:tcW w:type="dxa" w:w="3216"/>
            <w:tcMar>
              <w:top w:w="60" w:type="dxa"/>
              <w:bottom w:w="60" w:type="dxa"/>
              <w:start w:w="120" w:type="dxa"/>
              <w:end w:w="120" w:type="dxa"/>
            </w:tcMar>
          </w:tcPr>
          <w:p>
            <w:pPr>
              <w:spacing w:after="0"/>
            </w:pPr>
            <w:r>
              <w:rPr>
                <w:rFonts w:ascii="Calibri" w:hAnsi="Calibri"/>
                <w:b w:val="0"/>
                <w:i w:val="0"/>
                <w:color w:val="1A1A1A"/>
                <w:sz w:val="21"/>
              </w:rPr>
              <w:t>Assess (Discover)</w:t>
            </w:r>
          </w:p>
        </w:tc>
        <w:tc>
          <w:tcPr>
            <w:tcW w:type="dxa" w:w="3216"/>
            <w:tcMar>
              <w:top w:w="60" w:type="dxa"/>
              <w:bottom w:w="60" w:type="dxa"/>
              <w:start w:w="120" w:type="dxa"/>
              <w:end w:w="120" w:type="dxa"/>
            </w:tcMar>
          </w:tcPr>
          <w:p>
            <w:pPr>
              <w:spacing w:after="0"/>
            </w:pPr>
            <w:r>
              <w:rPr>
                <w:rFonts w:ascii="Calibri" w:hAnsi="Calibri"/>
                <w:b w:val="0"/>
                <w:i w:val="0"/>
                <w:color w:val="1A1A1A"/>
                <w:sz w:val="21"/>
              </w:rPr>
              <w:t>Identifying the friction point and necessary data inputs.</w:t>
            </w:r>
          </w:p>
        </w:tc>
      </w:tr>
      <w:tr>
        <w:tc>
          <w:tcPr>
            <w:tcW w:type="dxa" w:w="3216"/>
            <w:tcMar>
              <w:top w:w="60" w:type="dxa"/>
              <w:bottom w:w="60" w:type="dxa"/>
              <w:start w:w="120" w:type="dxa"/>
              <w:end w:w="120" w:type="dxa"/>
            </w:tcMar>
            <w:shd w:val="clear" w:color="auto" w:fill="F1F7F7"/>
          </w:tcPr>
          <w:p>
            <w:pPr>
              <w:spacing w:after="0"/>
            </w:pPr>
            <w:r>
              <w:rPr>
                <w:rFonts w:ascii="Calibri" w:hAnsi="Calibri"/>
                <w:b w:val="0"/>
                <w:i w:val="0"/>
                <w:color w:val="1A1A1A"/>
                <w:sz w:val="21"/>
              </w:rPr>
              <w:t>Standard</w:t>
            </w:r>
          </w:p>
        </w:tc>
        <w:tc>
          <w:tcPr>
            <w:tcW w:type="dxa" w:w="3216"/>
            <w:tcMar>
              <w:top w:w="60" w:type="dxa"/>
              <w:bottom w:w="60" w:type="dxa"/>
              <w:start w:w="120" w:type="dxa"/>
              <w:end w:w="120" w:type="dxa"/>
            </w:tcMar>
            <w:shd w:val="clear" w:color="auto" w:fill="F1F7F7"/>
          </w:tcPr>
          <w:p>
            <w:pPr>
              <w:spacing w:after="0"/>
            </w:pPr>
            <w:r>
              <w:rPr>
                <w:rFonts w:ascii="Calibri" w:hAnsi="Calibri"/>
                <w:b w:val="0"/>
                <w:i w:val="0"/>
                <w:color w:val="1A1A1A"/>
                <w:sz w:val="21"/>
              </w:rPr>
              <w:t>Plan</w:t>
            </w:r>
          </w:p>
        </w:tc>
        <w:tc>
          <w:tcPr>
            <w:tcW w:type="dxa" w:w="3216"/>
            <w:tcMar>
              <w:top w:w="60" w:type="dxa"/>
              <w:bottom w:w="60" w:type="dxa"/>
              <w:start w:w="120" w:type="dxa"/>
              <w:end w:w="120" w:type="dxa"/>
            </w:tcMar>
            <w:shd w:val="clear" w:color="auto" w:fill="F1F7F7"/>
          </w:tcPr>
          <w:p>
            <w:pPr>
              <w:spacing w:after="0"/>
            </w:pPr>
            <w:r>
              <w:rPr>
                <w:rFonts w:ascii="Calibri" w:hAnsi="Calibri"/>
                <w:b w:val="0"/>
                <w:i w:val="0"/>
                <w:color w:val="1A1A1A"/>
                <w:sz w:val="21"/>
              </w:rPr>
              <w:t>Establishing the professional "care plan" for the document.</w:t>
            </w:r>
          </w:p>
        </w:tc>
      </w:tr>
      <w:tr>
        <w:tc>
          <w:tcPr>
            <w:tcW w:type="dxa" w:w="3216"/>
            <w:tcMar>
              <w:top w:w="60" w:type="dxa"/>
              <w:bottom w:w="60" w:type="dxa"/>
              <w:start w:w="120" w:type="dxa"/>
              <w:end w:w="120" w:type="dxa"/>
            </w:tcMar>
          </w:tcPr>
          <w:p>
            <w:pPr>
              <w:spacing w:after="0"/>
            </w:pPr>
            <w:r>
              <w:rPr>
                <w:rFonts w:ascii="Calibri" w:hAnsi="Calibri"/>
                <w:b w:val="0"/>
                <w:i w:val="0"/>
                <w:color w:val="1A1A1A"/>
                <w:sz w:val="21"/>
              </w:rPr>
              <w:t>Execution (AI draft)</w:t>
            </w:r>
          </w:p>
        </w:tc>
        <w:tc>
          <w:tcPr>
            <w:tcW w:type="dxa" w:w="3216"/>
            <w:tcMar>
              <w:top w:w="60" w:type="dxa"/>
              <w:bottom w:w="60" w:type="dxa"/>
              <w:start w:w="120" w:type="dxa"/>
              <w:end w:w="120" w:type="dxa"/>
            </w:tcMar>
          </w:tcPr>
          <w:p>
            <w:pPr>
              <w:spacing w:after="0"/>
            </w:pPr>
            <w:r>
              <w:rPr>
                <w:rFonts w:ascii="Calibri" w:hAnsi="Calibri"/>
                <w:b w:val="0"/>
                <w:i w:val="0"/>
                <w:color w:val="1A1A1A"/>
                <w:sz w:val="21"/>
              </w:rPr>
              <w:t>Intervene</w:t>
            </w:r>
          </w:p>
        </w:tc>
        <w:tc>
          <w:tcPr>
            <w:tcW w:type="dxa" w:w="3216"/>
            <w:tcMar>
              <w:top w:w="60" w:type="dxa"/>
              <w:bottom w:w="60" w:type="dxa"/>
              <w:start w:w="120" w:type="dxa"/>
              <w:end w:w="120" w:type="dxa"/>
            </w:tcMar>
          </w:tcPr>
          <w:p>
            <w:pPr>
              <w:spacing w:after="0"/>
            </w:pPr>
            <w:r>
              <w:rPr>
                <w:rFonts w:ascii="Calibri" w:hAnsi="Calibri"/>
                <w:b w:val="0"/>
                <w:i w:val="0"/>
                <w:color w:val="1A1A1A"/>
                <w:sz w:val="21"/>
              </w:rPr>
              <w:t>The AI performs the cognitive labour of drafting.</w:t>
            </w:r>
          </w:p>
        </w:tc>
      </w:tr>
      <w:tr>
        <w:tc>
          <w:tcPr>
            <w:tcW w:type="dxa" w:w="3216"/>
            <w:tcMar>
              <w:top w:w="60" w:type="dxa"/>
              <w:bottom w:w="60" w:type="dxa"/>
              <w:start w:w="120" w:type="dxa"/>
              <w:end w:w="120" w:type="dxa"/>
            </w:tcMar>
            <w:shd w:val="clear" w:color="auto" w:fill="F1F7F7"/>
          </w:tcPr>
          <w:p>
            <w:pPr>
              <w:spacing w:after="0"/>
            </w:pPr>
            <w:r>
              <w:rPr>
                <w:rFonts w:ascii="Calibri" w:hAnsi="Calibri"/>
                <w:b w:val="0"/>
                <w:i w:val="0"/>
                <w:color w:val="1A1A1A"/>
                <w:sz w:val="21"/>
              </w:rPr>
              <w:t>Verification</w:t>
            </w:r>
          </w:p>
        </w:tc>
        <w:tc>
          <w:tcPr>
            <w:tcW w:type="dxa" w:w="3216"/>
            <w:tcMar>
              <w:top w:w="60" w:type="dxa"/>
              <w:bottom w:w="60" w:type="dxa"/>
              <w:start w:w="120" w:type="dxa"/>
              <w:end w:w="120" w:type="dxa"/>
            </w:tcMar>
            <w:shd w:val="clear" w:color="auto" w:fill="F1F7F7"/>
          </w:tcPr>
          <w:p>
            <w:pPr>
              <w:spacing w:after="0"/>
            </w:pPr>
            <w:r>
              <w:rPr>
                <w:rFonts w:ascii="Calibri" w:hAnsi="Calibri"/>
                <w:b w:val="0"/>
                <w:i w:val="0"/>
                <w:color w:val="1A1A1A"/>
                <w:sz w:val="21"/>
              </w:rPr>
              <w:t>Evaluate</w:t>
            </w:r>
          </w:p>
        </w:tc>
        <w:tc>
          <w:tcPr>
            <w:tcW w:type="dxa" w:w="3216"/>
            <w:tcMar>
              <w:top w:w="60" w:type="dxa"/>
              <w:bottom w:w="60" w:type="dxa"/>
              <w:start w:w="120" w:type="dxa"/>
              <w:end w:w="120" w:type="dxa"/>
            </w:tcMar>
            <w:shd w:val="clear" w:color="auto" w:fill="F1F7F7"/>
          </w:tcPr>
          <w:p>
            <w:pPr>
              <w:spacing w:after="0"/>
            </w:pPr>
            <w:r>
              <w:rPr>
                <w:rFonts w:ascii="Calibri" w:hAnsi="Calibri"/>
                <w:b w:val="0"/>
                <w:i w:val="0"/>
                <w:color w:val="1A1A1A"/>
                <w:sz w:val="21"/>
              </w:rPr>
              <w:t>Checking the output against professional benchmarks.</w:t>
            </w:r>
          </w:p>
        </w:tc>
      </w:tr>
      <w:tr>
        <w:tc>
          <w:tcPr>
            <w:tcW w:type="dxa" w:w="3216"/>
            <w:tcMar>
              <w:top w:w="60" w:type="dxa"/>
              <w:bottom w:w="60" w:type="dxa"/>
              <w:start w:w="120" w:type="dxa"/>
              <w:end w:w="120" w:type="dxa"/>
            </w:tcMar>
          </w:tcPr>
          <w:p>
            <w:pPr>
              <w:spacing w:after="0"/>
            </w:pPr>
            <w:r>
              <w:rPr>
                <w:rFonts w:ascii="Calibri" w:hAnsi="Calibri"/>
                <w:b w:val="0"/>
                <w:i w:val="0"/>
                <w:color w:val="1A1A1A"/>
                <w:sz w:val="21"/>
              </w:rPr>
              <w:t>Iteration</w:t>
            </w:r>
          </w:p>
        </w:tc>
        <w:tc>
          <w:tcPr>
            <w:tcW w:type="dxa" w:w="3216"/>
            <w:tcMar>
              <w:top w:w="60" w:type="dxa"/>
              <w:bottom w:w="60" w:type="dxa"/>
              <w:start w:w="120" w:type="dxa"/>
              <w:end w:w="120" w:type="dxa"/>
            </w:tcMar>
          </w:tcPr>
          <w:p>
            <w:pPr>
              <w:spacing w:after="0"/>
            </w:pPr>
            <w:r>
              <w:rPr>
                <w:rFonts w:ascii="Calibri" w:hAnsi="Calibri"/>
                <w:b w:val="0"/>
                <w:i w:val="0"/>
                <w:color w:val="1A1A1A"/>
                <w:sz w:val="21"/>
              </w:rPr>
              <w:t>Adjust</w:t>
            </w:r>
          </w:p>
        </w:tc>
        <w:tc>
          <w:tcPr>
            <w:tcW w:type="dxa" w:w="3216"/>
            <w:tcMar>
              <w:top w:w="60" w:type="dxa"/>
              <w:bottom w:w="60" w:type="dxa"/>
              <w:start w:w="120" w:type="dxa"/>
              <w:end w:w="120" w:type="dxa"/>
            </w:tcMar>
          </w:tcPr>
          <w:p>
            <w:pPr>
              <w:spacing w:after="0"/>
            </w:pPr>
            <w:r>
              <w:rPr>
                <w:rFonts w:ascii="Calibri" w:hAnsi="Calibri"/>
                <w:b w:val="0"/>
                <w:i w:val="0"/>
                <w:color w:val="1A1A1A"/>
                <w:sz w:val="21"/>
              </w:rPr>
              <w:t>Refinement based on gaps identified during evaluation.</w:t>
            </w:r>
          </w:p>
        </w:tc>
      </w:tr>
      <w:tr>
        <w:tc>
          <w:tcPr>
            <w:tcW w:type="dxa" w:w="3216"/>
            <w:tcMar>
              <w:top w:w="60" w:type="dxa"/>
              <w:bottom w:w="60" w:type="dxa"/>
              <w:start w:w="120" w:type="dxa"/>
              <w:end w:w="120" w:type="dxa"/>
            </w:tcMar>
            <w:shd w:val="clear" w:color="auto" w:fill="F1F7F7"/>
          </w:tcPr>
          <w:p>
            <w:pPr>
              <w:spacing w:after="0"/>
            </w:pPr>
            <w:r>
              <w:rPr>
                <w:rFonts w:ascii="Calibri" w:hAnsi="Calibri"/>
                <w:b w:val="0"/>
                <w:i w:val="0"/>
                <w:color w:val="1A1A1A"/>
                <w:sz w:val="21"/>
              </w:rPr>
              <w:t>Human sign-off</w:t>
            </w:r>
          </w:p>
        </w:tc>
        <w:tc>
          <w:tcPr>
            <w:tcW w:type="dxa" w:w="3216"/>
            <w:tcMar>
              <w:top w:w="60" w:type="dxa"/>
              <w:bottom w:w="60" w:type="dxa"/>
              <w:start w:w="120" w:type="dxa"/>
              <w:end w:w="120" w:type="dxa"/>
            </w:tcMar>
            <w:shd w:val="clear" w:color="auto" w:fill="F1F7F7"/>
          </w:tcPr>
          <w:p>
            <w:pPr>
              <w:spacing w:after="0"/>
            </w:pPr>
            <w:r>
              <w:rPr>
                <w:rFonts w:ascii="Calibri" w:hAnsi="Calibri"/>
                <w:b w:val="0"/>
                <w:i w:val="0"/>
                <w:color w:val="1A1A1A"/>
                <w:sz w:val="21"/>
              </w:rPr>
              <w:t>Professional judgment</w:t>
            </w:r>
          </w:p>
        </w:tc>
        <w:tc>
          <w:tcPr>
            <w:tcW w:type="dxa" w:w="3216"/>
            <w:tcMar>
              <w:top w:w="60" w:type="dxa"/>
              <w:bottom w:w="60" w:type="dxa"/>
              <w:start w:w="120" w:type="dxa"/>
              <w:end w:w="120" w:type="dxa"/>
            </w:tcMar>
            <w:shd w:val="clear" w:color="auto" w:fill="F1F7F7"/>
          </w:tcPr>
          <w:p>
            <w:pPr>
              <w:spacing w:after="0"/>
            </w:pPr>
            <w:r>
              <w:rPr>
                <w:rFonts w:ascii="Calibri" w:hAnsi="Calibri"/>
                <w:b w:val="0"/>
                <w:i w:val="0"/>
                <w:color w:val="1A1A1A"/>
                <w:sz w:val="21"/>
              </w:rPr>
              <w:t>Final accountability and clinical validation.</w:t>
            </w:r>
          </w:p>
        </w:tc>
      </w:tr>
    </w:tbl>
    <w:p/>
    <w:p>
      <w:pPr>
        <w:pStyle w:val="Heading2"/>
      </w:pPr>
      <w:r>
        <w:t>3. The accountability boundary: human-in-the-loop requirements</w:t>
      </w:r>
    </w:p>
    <w:p>
      <w:r>
        <w:rPr>
          <w:rFonts w:ascii="Calibri" w:hAnsi="Calibri"/>
          <w:b w:val="0"/>
          <w:i w:val="0"/>
          <w:color w:val="1A1A1A"/>
          <w:sz w:val="22"/>
        </w:rPr>
        <w:t>The Human Sign-Off is the non-negotiable governance gate of this framework. AI does not hold professional registration and cannot be held accountable for clinical or educational outcomes. While AI may draft, map, and summarise, the professional holds the ultimate accountability.</w:t>
      </w:r>
    </w:p>
    <w:p>
      <w:pPr>
        <w:pStyle w:val="Heading3"/>
      </w:pPr>
      <w:r>
        <w:t>The red lines: absolute decision prohibitions</w:t>
      </w:r>
    </w:p>
    <w:p>
      <w:r>
        <w:rPr>
          <w:rFonts w:ascii="Calibri" w:hAnsi="Calibri"/>
          <w:b w:val="0"/>
          <w:i w:val="0"/>
          <w:color w:val="1A1A1A"/>
          <w:sz w:val="22"/>
        </w:rPr>
        <w:t>AI must never make a final decision in the following categories. Furthermore, no identifiable patient data may be processed in any AI tool that has not received explicit Trust-level Information Governance (IG) approval:</w:t>
      </w:r>
    </w:p>
    <w:p>
      <w:pPr>
        <w:pStyle w:val="ListBullet"/>
      </w:pPr>
      <w:r>
        <w:rPr>
          <w:rFonts w:ascii="Calibri" w:hAnsi="Calibri"/>
          <w:b/>
          <w:i w:val="0"/>
          <w:color w:val="1A1A1A"/>
          <w:sz w:val="22"/>
        </w:rPr>
        <w:t>Patient care:</w:t>
      </w:r>
      <w:r>
        <w:rPr>
          <w:rFonts w:ascii="Calibri" w:hAnsi="Calibri"/>
          <w:b w:val="0"/>
          <w:i w:val="0"/>
          <w:color w:val="1A1A1A"/>
          <w:sz w:val="22"/>
        </w:rPr>
        <w:t xml:space="preserve"> Clinical diagnosis, treatment decisions, or capacity determinations.</w:t>
      </w:r>
    </w:p>
    <w:p>
      <w:pPr>
        <w:pStyle w:val="ListBullet"/>
      </w:pPr>
      <w:r>
        <w:rPr>
          <w:rFonts w:ascii="Calibri" w:hAnsi="Calibri"/>
          <w:b/>
          <w:i w:val="0"/>
          <w:color w:val="1A1A1A"/>
          <w:sz w:val="22"/>
        </w:rPr>
        <w:t>Safeguarding:</w:t>
      </w:r>
      <w:r>
        <w:rPr>
          <w:rFonts w:ascii="Calibri" w:hAnsi="Calibri"/>
          <w:b w:val="0"/>
          <w:i w:val="0"/>
          <w:color w:val="1A1A1A"/>
          <w:sz w:val="22"/>
        </w:rPr>
        <w:t xml:space="preserve"> Final judgments on risks to vulnerable individuals.</w:t>
      </w:r>
    </w:p>
    <w:p>
      <w:pPr>
        <w:pStyle w:val="ListBullet"/>
      </w:pPr>
      <w:r>
        <w:rPr>
          <w:rFonts w:ascii="Calibri" w:hAnsi="Calibri"/>
          <w:b/>
          <w:i w:val="0"/>
          <w:color w:val="1A1A1A"/>
          <w:sz w:val="22"/>
        </w:rPr>
        <w:t>Fitness to practise:</w:t>
      </w:r>
      <w:r>
        <w:rPr>
          <w:rFonts w:ascii="Calibri" w:hAnsi="Calibri"/>
          <w:b w:val="0"/>
          <w:i w:val="0"/>
          <w:color w:val="1A1A1A"/>
          <w:sz w:val="22"/>
        </w:rPr>
        <w:t xml:space="preserve"> Judgments on professional conduct, capability, or disciplinary actions.</w:t>
      </w:r>
    </w:p>
    <w:p>
      <w:pPr>
        <w:pStyle w:val="ListBullet"/>
      </w:pPr>
      <w:r>
        <w:rPr>
          <w:rFonts w:ascii="Calibri" w:hAnsi="Calibri"/>
          <w:b/>
          <w:i w:val="0"/>
          <w:color w:val="1A1A1A"/>
          <w:sz w:val="22"/>
        </w:rPr>
        <w:t>Student progression:</w:t>
      </w:r>
      <w:r>
        <w:rPr>
          <w:rFonts w:ascii="Calibri" w:hAnsi="Calibri"/>
          <w:b w:val="0"/>
          <w:i w:val="0"/>
          <w:color w:val="1A1A1A"/>
          <w:sz w:val="22"/>
        </w:rPr>
        <w:t xml:space="preserve"> Deciding whether a learner passes or fails an assessment or placement.</w:t>
      </w:r>
    </w:p>
    <w:p>
      <w:pPr>
        <w:pStyle w:val="ListBullet"/>
      </w:pPr>
      <w:r>
        <w:rPr>
          <w:rFonts w:ascii="Calibri" w:hAnsi="Calibri"/>
          <w:b/>
          <w:i w:val="0"/>
          <w:color w:val="1A1A1A"/>
          <w:sz w:val="22"/>
        </w:rPr>
        <w:t>HR outcomes:</w:t>
      </w:r>
      <w:r>
        <w:rPr>
          <w:rFonts w:ascii="Calibri" w:hAnsi="Calibri"/>
          <w:b w:val="0"/>
          <w:i w:val="0"/>
          <w:color w:val="1A1A1A"/>
          <w:sz w:val="22"/>
        </w:rPr>
        <w:t xml:space="preserve"> Occupational health advice, recruitment decisions, or employment outcomes.</w:t>
      </w:r>
    </w:p>
    <w:p>
      <w:pPr>
        <w:pStyle w:val="Heading3"/>
      </w:pPr>
      <w:r>
        <w:t>The stop condition</w:t>
      </w:r>
    </w:p>
    <w:p>
      <w:r>
        <w:rPr>
          <w:rFonts w:ascii="Calibri" w:hAnsi="Calibri"/>
          <w:b w:val="0"/>
          <w:i w:val="0"/>
          <w:color w:val="1A1A1A"/>
          <w:sz w:val="22"/>
        </w:rPr>
        <w:t>Every Practice Loop must contain an explicit "Stop Condition." The AI must cease operation and escalate to a human professional immediately if it identifies:</w:t>
      </w:r>
    </w:p>
    <w:p>
      <w:pPr>
        <w:pStyle w:val="ListBullet"/>
      </w:pPr>
      <w:r>
        <w:rPr>
          <w:rFonts w:ascii="Calibri" w:hAnsi="Calibri"/>
          <w:b/>
          <w:i w:val="0"/>
          <w:color w:val="1A1A1A"/>
          <w:sz w:val="22"/>
        </w:rPr>
        <w:t>Conflict or bias:</w:t>
      </w:r>
      <w:r>
        <w:rPr>
          <w:rFonts w:ascii="Calibri" w:hAnsi="Calibri"/>
          <w:b w:val="0"/>
          <w:i w:val="0"/>
          <w:color w:val="1A1A1A"/>
          <w:sz w:val="22"/>
        </w:rPr>
        <w:t xml:space="preserve"> Evidence of discriminatory language or conflicting data points.</w:t>
      </w:r>
    </w:p>
    <w:p>
      <w:pPr>
        <w:pStyle w:val="ListBullet"/>
      </w:pPr>
      <w:r>
        <w:rPr>
          <w:rFonts w:ascii="Calibri" w:hAnsi="Calibri"/>
          <w:b/>
          <w:i w:val="0"/>
          <w:color w:val="1A1A1A"/>
          <w:sz w:val="22"/>
        </w:rPr>
        <w:t>Messy transcripts:</w:t>
      </w:r>
      <w:r>
        <w:rPr>
          <w:rFonts w:ascii="Calibri" w:hAnsi="Calibri"/>
          <w:b w:val="0"/>
          <w:i w:val="0"/>
          <w:color w:val="1A1A1A"/>
          <w:sz w:val="22"/>
        </w:rPr>
        <w:t xml:space="preserve"> Insufficient or garbled information that prevents a safe output.</w:t>
      </w:r>
    </w:p>
    <w:p>
      <w:pPr>
        <w:pStyle w:val="ListBullet"/>
      </w:pPr>
      <w:r>
        <w:rPr>
          <w:rFonts w:ascii="Calibri" w:hAnsi="Calibri"/>
          <w:b/>
          <w:i w:val="0"/>
          <w:color w:val="1A1A1A"/>
          <w:sz w:val="22"/>
        </w:rPr>
        <w:t>Risk flags:</w:t>
      </w:r>
      <w:r>
        <w:rPr>
          <w:rFonts w:ascii="Calibri" w:hAnsi="Calibri"/>
          <w:b w:val="0"/>
          <w:i w:val="0"/>
          <w:color w:val="1A1A1A"/>
          <w:sz w:val="22"/>
        </w:rPr>
        <w:t xml:space="preserve"> Identification of safeguarding concerns or urgent clinical risks.</w:t>
      </w:r>
    </w:p>
    <w:p>
      <w:pPr>
        <w:pStyle w:val="ListBullet"/>
      </w:pPr>
      <w:r>
        <w:rPr>
          <w:rFonts w:ascii="Calibri" w:hAnsi="Calibri"/>
          <w:b/>
          <w:i w:val="0"/>
          <w:color w:val="1A1A1A"/>
          <w:sz w:val="22"/>
        </w:rPr>
        <w:t>Complex judgment:</w:t>
      </w:r>
      <w:r>
        <w:rPr>
          <w:rFonts w:ascii="Calibri" w:hAnsi="Calibri"/>
          <w:b w:val="0"/>
          <w:i w:val="0"/>
          <w:color w:val="1A1A1A"/>
          <w:sz w:val="22"/>
        </w:rPr>
        <w:t xml:space="preserve"> Tasks requiring professional uncertainty or nuanced ethical weighing.</w:t>
      </w:r>
    </w:p>
    <w:p>
      <w:pPr>
        <w:pStyle w:val="Heading2"/>
      </w:pPr>
      <w:r>
        <w:t>4. Quality assurance through structured verification</w:t>
      </w:r>
    </w:p>
    <w:p>
      <w:r>
        <w:rPr>
          <w:rFonts w:ascii="Calibri" w:hAnsi="Calibri"/>
          <w:b w:val="0"/>
          <w:i w:val="0"/>
          <w:color w:val="1A1A1A"/>
          <w:sz w:val="22"/>
        </w:rPr>
        <w:t>Verification is the primary defence against "quiet failures" — where AI produces fluent, professional-sounding documentation that is factually inaccurate or clinically unsafe.</w:t>
      </w:r>
    </w:p>
    <w:p>
      <w:pPr>
        <w:pStyle w:val="Heading3"/>
      </w:pPr>
      <w:r>
        <w:t>The practice loop verifier</w:t>
      </w:r>
    </w:p>
    <w:tbl>
      <w:tblPr>
        <w:tblStyle w:val="TableGrid"/>
        <w:tblW w:type="auto" w:w="0"/>
        <w:jc w:val="center"/>
        <w:tblLook w:firstColumn="1" w:firstRow="1" w:lastColumn="0" w:lastRow="0" w:noHBand="0" w:noVBand="1" w:val="04A0"/>
      </w:tblPr>
      <w:tblGrid>
        <w:gridCol w:w="4824"/>
        <w:gridCol w:w="4824"/>
      </w:tblGrid>
      <w:tr>
        <w:tc>
          <w:tcPr>
            <w:tcW w:type="dxa" w:w="4824"/>
            <w:tcMar>
              <w:top w:w="60" w:type="dxa"/>
              <w:bottom w:w="60" w:type="dxa"/>
              <w:start w:w="120" w:type="dxa"/>
              <w:end w:w="120" w:type="dxa"/>
            </w:tcMar>
            <w:shd w:val="clear" w:color="auto" w:fill="026A76"/>
          </w:tcPr>
          <w:p>
            <w:pPr>
              <w:spacing w:after="0"/>
            </w:pPr>
            <w:r>
              <w:rPr>
                <w:rFonts w:ascii="Calibri" w:hAnsi="Calibri"/>
                <w:b/>
                <w:i w:val="0"/>
                <w:color w:val="FFFFFF"/>
                <w:sz w:val="21"/>
              </w:rPr>
              <w:t>Verification question</w:t>
            </w:r>
          </w:p>
        </w:tc>
        <w:tc>
          <w:tcPr>
            <w:tcW w:type="dxa" w:w="4824"/>
            <w:tcMar>
              <w:top w:w="60" w:type="dxa"/>
              <w:bottom w:w="60" w:type="dxa"/>
              <w:start w:w="120" w:type="dxa"/>
              <w:end w:w="120" w:type="dxa"/>
            </w:tcMar>
            <w:shd w:val="clear" w:color="auto" w:fill="026A76"/>
          </w:tcPr>
          <w:p>
            <w:pPr>
              <w:spacing w:after="0"/>
            </w:pPr>
            <w:r>
              <w:rPr>
                <w:rFonts w:ascii="Calibri" w:hAnsi="Calibri"/>
                <w:b/>
                <w:i w:val="0"/>
                <w:color w:val="FFFFFF"/>
                <w:sz w:val="21"/>
              </w:rPr>
              <w:t>Why it matters / strategic impact</w:t>
            </w:r>
          </w:p>
        </w:tc>
      </w:tr>
      <w:tr>
        <w:tc>
          <w:tcPr>
            <w:tcW w:type="dxa" w:w="4824"/>
            <w:tcMar>
              <w:top w:w="60" w:type="dxa"/>
              <w:bottom w:w="60" w:type="dxa"/>
              <w:start w:w="120" w:type="dxa"/>
              <w:end w:w="120" w:type="dxa"/>
            </w:tcMar>
          </w:tcPr>
          <w:p>
            <w:pPr>
              <w:spacing w:after="0"/>
            </w:pPr>
            <w:r>
              <w:rPr>
                <w:rFonts w:ascii="Calibri" w:hAnsi="Calibri"/>
                <w:b w:val="0"/>
                <w:i w:val="0"/>
                <w:color w:val="1A1A1A"/>
                <w:sz w:val="21"/>
              </w:rPr>
              <w:t>Is the concern clearly described?</w:t>
            </w:r>
          </w:p>
        </w:tc>
        <w:tc>
          <w:tcPr>
            <w:tcW w:type="dxa" w:w="4824"/>
            <w:tcMar>
              <w:top w:w="60" w:type="dxa"/>
              <w:bottom w:w="60" w:type="dxa"/>
              <w:start w:w="120" w:type="dxa"/>
              <w:end w:w="120" w:type="dxa"/>
            </w:tcMar>
          </w:tcPr>
          <w:p>
            <w:pPr>
              <w:spacing w:after="0"/>
            </w:pPr>
            <w:r>
              <w:rPr>
                <w:rFonts w:ascii="Calibri" w:hAnsi="Calibri"/>
                <w:b w:val="0"/>
                <w:i w:val="0"/>
                <w:color w:val="1A1A1A"/>
                <w:sz w:val="21"/>
              </w:rPr>
              <w:t>Prevents vague or unfair documentation.</w:t>
            </w:r>
          </w:p>
        </w:tc>
      </w:tr>
      <w:tr>
        <w:tc>
          <w:tcPr>
            <w:tcW w:type="dxa" w:w="4824"/>
            <w:tcMar>
              <w:top w:w="60" w:type="dxa"/>
              <w:bottom w:w="60" w:type="dxa"/>
              <w:start w:w="120" w:type="dxa"/>
              <w:end w:w="120" w:type="dxa"/>
            </w:tcMar>
            <w:shd w:val="clear" w:color="auto" w:fill="F1F7F7"/>
          </w:tcPr>
          <w:p>
            <w:pPr>
              <w:spacing w:after="0"/>
            </w:pPr>
            <w:r>
              <w:rPr>
                <w:rFonts w:ascii="Calibri" w:hAnsi="Calibri"/>
                <w:b w:val="0"/>
                <w:i w:val="0"/>
                <w:color w:val="1A1A1A"/>
                <w:sz w:val="21"/>
              </w:rPr>
              <w:t>Is the evidence separated from opinion?</w:t>
            </w:r>
          </w:p>
        </w:tc>
        <w:tc>
          <w:tcPr>
            <w:tcW w:type="dxa" w:w="4824"/>
            <w:tcMar>
              <w:top w:w="60" w:type="dxa"/>
              <w:bottom w:w="60" w:type="dxa"/>
              <w:start w:w="120" w:type="dxa"/>
              <w:end w:w="120" w:type="dxa"/>
            </w:tcMar>
            <w:shd w:val="clear" w:color="auto" w:fill="F1F7F7"/>
          </w:tcPr>
          <w:p>
            <w:pPr>
              <w:spacing w:after="0"/>
            </w:pPr>
            <w:r>
              <w:rPr>
                <w:rFonts w:ascii="Calibri" w:hAnsi="Calibri"/>
                <w:b w:val="0"/>
                <w:i w:val="0"/>
                <w:color w:val="1A1A1A"/>
                <w:sz w:val="21"/>
              </w:rPr>
              <w:t>Supports fairness and auditability for future review.</w:t>
            </w:r>
          </w:p>
        </w:tc>
      </w:tr>
      <w:tr>
        <w:tc>
          <w:tcPr>
            <w:tcW w:type="dxa" w:w="4824"/>
            <w:tcMar>
              <w:top w:w="60" w:type="dxa"/>
              <w:bottom w:w="60" w:type="dxa"/>
              <w:start w:w="120" w:type="dxa"/>
              <w:end w:w="120" w:type="dxa"/>
            </w:tcMar>
          </w:tcPr>
          <w:p>
            <w:pPr>
              <w:spacing w:after="0"/>
            </w:pPr>
            <w:r>
              <w:rPr>
                <w:rFonts w:ascii="Calibri" w:hAnsi="Calibri"/>
                <w:b w:val="0"/>
                <w:i w:val="0"/>
                <w:color w:val="1A1A1A"/>
                <w:sz w:val="21"/>
              </w:rPr>
              <w:t>Are actions SMART?</w:t>
            </w:r>
          </w:p>
        </w:tc>
        <w:tc>
          <w:tcPr>
            <w:tcW w:type="dxa" w:w="4824"/>
            <w:tcMar>
              <w:top w:w="60" w:type="dxa"/>
              <w:bottom w:w="60" w:type="dxa"/>
              <w:start w:w="120" w:type="dxa"/>
              <w:end w:w="120" w:type="dxa"/>
            </w:tcMar>
          </w:tcPr>
          <w:p>
            <w:pPr>
              <w:spacing w:after="0"/>
            </w:pPr>
            <w:r>
              <w:rPr>
                <w:rFonts w:ascii="Calibri" w:hAnsi="Calibri"/>
                <w:b w:val="0"/>
                <w:i w:val="0"/>
                <w:color w:val="1A1A1A"/>
                <w:sz w:val="21"/>
              </w:rPr>
              <w:t>Ensures support plans are measurable and actionable.</w:t>
            </w:r>
          </w:p>
        </w:tc>
      </w:tr>
      <w:tr>
        <w:tc>
          <w:tcPr>
            <w:tcW w:type="dxa" w:w="4824"/>
            <w:tcMar>
              <w:top w:w="60" w:type="dxa"/>
              <w:bottom w:w="60" w:type="dxa"/>
              <w:start w:w="120" w:type="dxa"/>
              <w:end w:w="120" w:type="dxa"/>
            </w:tcMar>
            <w:shd w:val="clear" w:color="auto" w:fill="F1F7F7"/>
          </w:tcPr>
          <w:p>
            <w:pPr>
              <w:spacing w:after="0"/>
            </w:pPr>
            <w:r>
              <w:rPr>
                <w:rFonts w:ascii="Calibri" w:hAnsi="Calibri"/>
                <w:b w:val="0"/>
                <w:i w:val="0"/>
                <w:color w:val="1A1A1A"/>
                <w:sz w:val="21"/>
              </w:rPr>
              <w:t>Is risk explicitly addressed?</w:t>
            </w:r>
          </w:p>
        </w:tc>
        <w:tc>
          <w:tcPr>
            <w:tcW w:type="dxa" w:w="4824"/>
            <w:tcMar>
              <w:top w:w="60" w:type="dxa"/>
              <w:bottom w:w="60" w:type="dxa"/>
              <w:start w:w="120" w:type="dxa"/>
              <w:end w:w="120" w:type="dxa"/>
            </w:tcMar>
            <w:shd w:val="clear" w:color="auto" w:fill="F1F7F7"/>
          </w:tcPr>
          <w:p>
            <w:pPr>
              <w:spacing w:after="0"/>
            </w:pPr>
            <w:r>
              <w:rPr>
                <w:rFonts w:ascii="Calibri" w:hAnsi="Calibri"/>
                <w:b w:val="0"/>
                <w:i w:val="0"/>
                <w:color w:val="1A1A1A"/>
                <w:sz w:val="21"/>
              </w:rPr>
              <w:t>Protects patient and staff safety.</w:t>
            </w:r>
          </w:p>
        </w:tc>
      </w:tr>
      <w:tr>
        <w:tc>
          <w:tcPr>
            <w:tcW w:type="dxa" w:w="4824"/>
            <w:tcMar>
              <w:top w:w="60" w:type="dxa"/>
              <w:bottom w:w="60" w:type="dxa"/>
              <w:start w:w="120" w:type="dxa"/>
              <w:end w:w="120" w:type="dxa"/>
            </w:tcMar>
          </w:tcPr>
          <w:p>
            <w:pPr>
              <w:spacing w:after="0"/>
            </w:pPr>
            <w:r>
              <w:rPr>
                <w:rFonts w:ascii="Calibri" w:hAnsi="Calibri"/>
                <w:b w:val="0"/>
                <w:i w:val="0"/>
                <w:color w:val="1A1A1A"/>
                <w:sz w:val="21"/>
              </w:rPr>
              <w:t>Is the review date clear?</w:t>
            </w:r>
          </w:p>
        </w:tc>
        <w:tc>
          <w:tcPr>
            <w:tcW w:type="dxa" w:w="4824"/>
            <w:tcMar>
              <w:top w:w="60" w:type="dxa"/>
              <w:bottom w:w="60" w:type="dxa"/>
              <w:start w:w="120" w:type="dxa"/>
              <w:end w:w="120" w:type="dxa"/>
            </w:tcMar>
          </w:tcPr>
          <w:p>
            <w:pPr>
              <w:spacing w:after="0"/>
            </w:pPr>
            <w:r>
              <w:rPr>
                <w:rFonts w:ascii="Calibri" w:hAnsi="Calibri"/>
                <w:b w:val="0"/>
                <w:i w:val="0"/>
                <w:color w:val="1A1A1A"/>
                <w:sz w:val="21"/>
              </w:rPr>
              <w:t>Prevents "drift" in support or clinical plans.</w:t>
            </w:r>
          </w:p>
        </w:tc>
      </w:tr>
      <w:tr>
        <w:tc>
          <w:tcPr>
            <w:tcW w:type="dxa" w:w="4824"/>
            <w:tcMar>
              <w:top w:w="60" w:type="dxa"/>
              <w:bottom w:w="60" w:type="dxa"/>
              <w:start w:w="120" w:type="dxa"/>
              <w:end w:w="120" w:type="dxa"/>
            </w:tcMar>
            <w:shd w:val="clear" w:color="auto" w:fill="F1F7F7"/>
          </w:tcPr>
          <w:p>
            <w:pPr>
              <w:spacing w:after="0"/>
            </w:pPr>
            <w:r>
              <w:rPr>
                <w:rFonts w:ascii="Calibri" w:hAnsi="Calibri"/>
                <w:b w:val="0"/>
                <w:i w:val="0"/>
                <w:color w:val="1A1A1A"/>
                <w:sz w:val="21"/>
              </w:rPr>
              <w:t>Are responsibilities named?</w:t>
            </w:r>
          </w:p>
        </w:tc>
        <w:tc>
          <w:tcPr>
            <w:tcW w:type="dxa" w:w="4824"/>
            <w:tcMar>
              <w:top w:w="60" w:type="dxa"/>
              <w:bottom w:w="60" w:type="dxa"/>
              <w:start w:w="120" w:type="dxa"/>
              <w:end w:w="120" w:type="dxa"/>
            </w:tcMar>
            <w:shd w:val="clear" w:color="auto" w:fill="F1F7F7"/>
          </w:tcPr>
          <w:p>
            <w:pPr>
              <w:spacing w:after="0"/>
            </w:pPr>
            <w:r>
              <w:rPr>
                <w:rFonts w:ascii="Calibri" w:hAnsi="Calibri"/>
                <w:b w:val="0"/>
                <w:i w:val="0"/>
                <w:color w:val="1A1A1A"/>
                <w:sz w:val="21"/>
              </w:rPr>
              <w:t>Improves accountability by identifying who does what.</w:t>
            </w:r>
          </w:p>
        </w:tc>
      </w:tr>
      <w:tr>
        <w:tc>
          <w:tcPr>
            <w:tcW w:type="dxa" w:w="4824"/>
            <w:tcMar>
              <w:top w:w="60" w:type="dxa"/>
              <w:bottom w:w="60" w:type="dxa"/>
              <w:start w:w="120" w:type="dxa"/>
              <w:end w:w="120" w:type="dxa"/>
            </w:tcMar>
          </w:tcPr>
          <w:p>
            <w:pPr>
              <w:spacing w:after="0"/>
            </w:pPr>
            <w:r>
              <w:rPr>
                <w:rFonts w:ascii="Calibri" w:hAnsi="Calibri"/>
                <w:b w:val="0"/>
                <w:i w:val="0"/>
                <w:color w:val="1A1A1A"/>
                <w:sz w:val="21"/>
              </w:rPr>
              <w:t>Is the language supportive and non-punitive?</w:t>
            </w:r>
          </w:p>
        </w:tc>
        <w:tc>
          <w:tcPr>
            <w:tcW w:type="dxa" w:w="4824"/>
            <w:tcMar>
              <w:top w:w="60" w:type="dxa"/>
              <w:bottom w:w="60" w:type="dxa"/>
              <w:start w:w="120" w:type="dxa"/>
              <w:end w:w="120" w:type="dxa"/>
            </w:tcMar>
          </w:tcPr>
          <w:p>
            <w:pPr>
              <w:spacing w:after="0"/>
            </w:pPr>
            <w:r>
              <w:rPr>
                <w:rFonts w:ascii="Calibri" w:hAnsi="Calibri"/>
                <w:b w:val="0"/>
                <w:i w:val="0"/>
                <w:color w:val="1A1A1A"/>
                <w:sz w:val="21"/>
              </w:rPr>
              <w:t>Maintains psychologically safe environments for learning.</w:t>
            </w:r>
          </w:p>
        </w:tc>
      </w:tr>
      <w:tr>
        <w:tc>
          <w:tcPr>
            <w:tcW w:type="dxa" w:w="4824"/>
            <w:tcMar>
              <w:top w:w="60" w:type="dxa"/>
              <w:bottom w:w="60" w:type="dxa"/>
              <w:start w:w="120" w:type="dxa"/>
              <w:end w:w="120" w:type="dxa"/>
            </w:tcMar>
            <w:shd w:val="clear" w:color="auto" w:fill="F1F7F7"/>
          </w:tcPr>
          <w:p>
            <w:pPr>
              <w:spacing w:after="0"/>
            </w:pPr>
            <w:r>
              <w:rPr>
                <w:rFonts w:ascii="Calibri" w:hAnsi="Calibri"/>
                <w:b w:val="0"/>
                <w:i w:val="0"/>
                <w:color w:val="1A1A1A"/>
                <w:sz w:val="21"/>
              </w:rPr>
              <w:t>Are reasonable adjustments considered?</w:t>
            </w:r>
          </w:p>
        </w:tc>
        <w:tc>
          <w:tcPr>
            <w:tcW w:type="dxa" w:w="4824"/>
            <w:tcMar>
              <w:top w:w="60" w:type="dxa"/>
              <w:bottom w:w="60" w:type="dxa"/>
              <w:start w:w="120" w:type="dxa"/>
              <w:end w:w="120" w:type="dxa"/>
            </w:tcMar>
            <w:shd w:val="clear" w:color="auto" w:fill="F1F7F7"/>
          </w:tcPr>
          <w:p>
            <w:pPr>
              <w:spacing w:after="0"/>
            </w:pPr>
            <w:r>
              <w:rPr>
                <w:rFonts w:ascii="Calibri" w:hAnsi="Calibri"/>
                <w:b w:val="0"/>
                <w:i w:val="0"/>
                <w:color w:val="1A1A1A"/>
                <w:sz w:val="21"/>
              </w:rPr>
              <w:t>Ensures legal compliance with the Equality Act and EDI principles.</w:t>
            </w:r>
          </w:p>
        </w:tc>
      </w:tr>
      <w:tr>
        <w:tc>
          <w:tcPr>
            <w:tcW w:type="dxa" w:w="4824"/>
            <w:tcMar>
              <w:top w:w="60" w:type="dxa"/>
              <w:bottom w:w="60" w:type="dxa"/>
              <w:start w:w="120" w:type="dxa"/>
              <w:end w:w="120" w:type="dxa"/>
            </w:tcMar>
          </w:tcPr>
          <w:p>
            <w:pPr>
              <w:spacing w:after="0"/>
            </w:pPr>
            <w:r>
              <w:rPr>
                <w:rFonts w:ascii="Calibri" w:hAnsi="Calibri"/>
                <w:b w:val="0"/>
                <w:i w:val="0"/>
                <w:color w:val="1A1A1A"/>
                <w:sz w:val="21"/>
              </w:rPr>
              <w:t>Is escalation required?</w:t>
            </w:r>
          </w:p>
        </w:tc>
        <w:tc>
          <w:tcPr>
            <w:tcW w:type="dxa" w:w="4824"/>
            <w:tcMar>
              <w:top w:w="60" w:type="dxa"/>
              <w:bottom w:w="60" w:type="dxa"/>
              <w:start w:w="120" w:type="dxa"/>
              <w:end w:w="120" w:type="dxa"/>
            </w:tcMar>
          </w:tcPr>
          <w:p>
            <w:pPr>
              <w:spacing w:after="0"/>
            </w:pPr>
            <w:r>
              <w:rPr>
                <w:rFonts w:ascii="Calibri" w:hAnsi="Calibri"/>
                <w:b w:val="0"/>
                <w:i w:val="0"/>
                <w:color w:val="1A1A1A"/>
                <w:sz w:val="21"/>
              </w:rPr>
              <w:t>Ensures high-level risks are not hidden in summaries.</w:t>
            </w:r>
          </w:p>
        </w:tc>
      </w:tr>
      <w:tr>
        <w:tc>
          <w:tcPr>
            <w:tcW w:type="dxa" w:w="4824"/>
            <w:tcMar>
              <w:top w:w="60" w:type="dxa"/>
              <w:bottom w:w="60" w:type="dxa"/>
              <w:start w:w="120" w:type="dxa"/>
              <w:end w:w="120" w:type="dxa"/>
            </w:tcMar>
            <w:shd w:val="clear" w:color="auto" w:fill="F1F7F7"/>
          </w:tcPr>
          <w:p>
            <w:pPr>
              <w:spacing w:after="0"/>
            </w:pPr>
            <w:r>
              <w:rPr>
                <w:rFonts w:ascii="Calibri" w:hAnsi="Calibri"/>
                <w:b w:val="0"/>
                <w:i w:val="0"/>
                <w:color w:val="1A1A1A"/>
                <w:sz w:val="21"/>
              </w:rPr>
              <w:t>Does it avoid unauthorised decisions?</w:t>
            </w:r>
          </w:p>
        </w:tc>
        <w:tc>
          <w:tcPr>
            <w:tcW w:type="dxa" w:w="4824"/>
            <w:tcMar>
              <w:top w:w="60" w:type="dxa"/>
              <w:bottom w:w="60" w:type="dxa"/>
              <w:start w:w="120" w:type="dxa"/>
              <w:end w:w="120" w:type="dxa"/>
            </w:tcMar>
            <w:shd w:val="clear" w:color="auto" w:fill="F1F7F7"/>
          </w:tcPr>
          <w:p>
            <w:pPr>
              <w:spacing w:after="0"/>
            </w:pPr>
            <w:r>
              <w:rPr>
                <w:rFonts w:ascii="Calibri" w:hAnsi="Calibri"/>
                <w:b w:val="0"/>
                <w:i w:val="0"/>
                <w:color w:val="1A1A1A"/>
                <w:sz w:val="21"/>
              </w:rPr>
              <w:t>Protects the boundary of professional accountability.</w:t>
            </w:r>
          </w:p>
        </w:tc>
      </w:tr>
    </w:tbl>
    <w:p/>
    <w:p>
      <w:pPr>
        <w:pStyle w:val="Heading3"/>
      </w:pPr>
      <w:r>
        <w:t>Automated iteration logic</w:t>
      </w:r>
    </w:p>
    <w:p>
      <w:r>
        <w:rPr>
          <w:rFonts w:ascii="Calibri" w:hAnsi="Calibri"/>
          <w:b w:val="0"/>
          <w:i w:val="0"/>
          <w:color w:val="1A1A1A"/>
          <w:sz w:val="22"/>
        </w:rPr>
        <w:t xml:space="preserve">The iteration stage utilises an automated internal scoring system. The AI is instructed to score its own draft against the verifier (e.g., out of 10). If any criterion scores below 8/10, the AI must trigger a self-correction cycle to revise the weak section. This happens </w:t>
      </w:r>
      <w:r>
        <w:rPr>
          <w:rFonts w:ascii="Calibri" w:hAnsi="Calibri"/>
          <w:b/>
          <w:i w:val="0"/>
          <w:color w:val="1A1A1A"/>
          <w:sz w:val="22"/>
        </w:rPr>
        <w:t>before</w:t>
      </w:r>
      <w:r>
        <w:rPr>
          <w:rFonts w:ascii="Calibri" w:hAnsi="Calibri"/>
          <w:b w:val="0"/>
          <w:i w:val="0"/>
          <w:color w:val="1A1A1A"/>
          <w:sz w:val="22"/>
        </w:rPr>
        <w:t xml:space="preserve"> the professional ever sees the draft, ensuring that human attention is focused only on high-quality, pre-verified material.</w:t>
      </w:r>
    </w:p>
    <w:p>
      <w:pPr>
        <w:pStyle w:val="Heading2"/>
      </w:pPr>
      <w:r>
        <w:t>5. Risk management: identifying and mitigating automation failures</w:t>
      </w:r>
    </w:p>
    <w:p>
      <w:r>
        <w:rPr>
          <w:rFonts w:ascii="Calibri" w:hAnsi="Calibri"/>
          <w:b w:val="0"/>
          <w:i w:val="0"/>
          <w:color w:val="1A1A1A"/>
          <w:sz w:val="22"/>
        </w:rPr>
        <w:t>In a clinical context, "quiet failure" is significantly more dangerous than a system crash. A loop that produces a polished summary while missing a safeguarding flag is not saving time; it is creating hidden work and significant organisational risk.</w:t>
      </w:r>
    </w:p>
    <w:p>
      <w:pPr>
        <w:pStyle w:val="Heading3"/>
      </w:pPr>
      <w:r>
        <w:t>Checklist: quiet failure indicators</w:t>
      </w:r>
    </w:p>
    <w:p>
      <w:pPr>
        <w:pStyle w:val="ListBullet"/>
      </w:pPr>
      <w:r>
        <w:rPr>
          <w:rFonts w:ascii="Calibri" w:hAnsi="Calibri"/>
          <w:b w:val="0"/>
          <w:i w:val="0"/>
          <w:color w:val="1A1A1A"/>
          <w:sz w:val="22"/>
        </w:rPr>
        <w:t>Confident but factually inaccurate summaries of clinical or meeting notes.</w:t>
      </w:r>
    </w:p>
    <w:p>
      <w:pPr>
        <w:pStyle w:val="ListBullet"/>
      </w:pPr>
      <w:r>
        <w:rPr>
          <w:rFonts w:ascii="Calibri" w:hAnsi="Calibri"/>
          <w:b w:val="0"/>
          <w:i w:val="0"/>
          <w:color w:val="1A1A1A"/>
          <w:sz w:val="22"/>
        </w:rPr>
        <w:t>Vague risk statements that gloss over specific safeguarding or safety concerns.</w:t>
      </w:r>
    </w:p>
    <w:p>
      <w:pPr>
        <w:pStyle w:val="ListBullet"/>
      </w:pPr>
      <w:r>
        <w:rPr>
          <w:rFonts w:ascii="Calibri" w:hAnsi="Calibri"/>
          <w:b w:val="0"/>
          <w:i w:val="0"/>
          <w:color w:val="1A1A1A"/>
          <w:sz w:val="22"/>
        </w:rPr>
        <w:t>Biased or "deficit-based" interpretations of staff or student behaviour.</w:t>
      </w:r>
    </w:p>
    <w:p>
      <w:pPr>
        <w:pStyle w:val="ListBullet"/>
      </w:pPr>
      <w:r>
        <w:rPr>
          <w:rFonts w:ascii="Calibri" w:hAnsi="Calibri"/>
          <w:b w:val="0"/>
          <w:i w:val="0"/>
          <w:color w:val="1A1A1A"/>
          <w:sz w:val="22"/>
        </w:rPr>
        <w:t>Action plans that lack measurability or clear review dates.</w:t>
      </w:r>
    </w:p>
    <w:p>
      <w:pPr>
        <w:pStyle w:val="ListBullet"/>
      </w:pPr>
      <w:r>
        <w:rPr>
          <w:rFonts w:ascii="Calibri" w:hAnsi="Calibri"/>
          <w:b w:val="0"/>
          <w:i w:val="0"/>
          <w:color w:val="1A1A1A"/>
          <w:sz w:val="22"/>
        </w:rPr>
        <w:t>Failure to incorporate necessary reasonable adjustments or health contexts.</w:t>
      </w:r>
    </w:p>
    <w:p>
      <w:pPr>
        <w:pStyle w:val="Heading3"/>
      </w:pPr>
      <w:r>
        <w:t>The safe build order</w:t>
      </w:r>
    </w:p>
    <w:p>
      <w:r>
        <w:rPr>
          <w:rFonts w:ascii="Calibri" w:hAnsi="Calibri"/>
          <w:b w:val="0"/>
          <w:i w:val="0"/>
          <w:color w:val="1A1A1A"/>
          <w:sz w:val="22"/>
        </w:rPr>
        <w:t>All Practice Loops must be developed according to the following 7-step governed sequence:</w:t>
      </w:r>
    </w:p>
    <w:p>
      <w:pPr>
        <w:pStyle w:val="ListNumber"/>
      </w:pPr>
      <w:r>
        <w:rPr>
          <w:rFonts w:ascii="Calibri" w:hAnsi="Calibri"/>
          <w:b/>
          <w:i w:val="0"/>
          <w:color w:val="1A1A1A"/>
          <w:sz w:val="22"/>
        </w:rPr>
        <w:t>Manual testing:</w:t>
      </w:r>
      <w:r>
        <w:rPr>
          <w:rFonts w:ascii="Calibri" w:hAnsi="Calibri"/>
          <w:b w:val="0"/>
          <w:i w:val="0"/>
          <w:color w:val="1A1A1A"/>
          <w:sz w:val="22"/>
        </w:rPr>
        <w:t xml:space="preserve"> Run the loop manually with one real, anonymised example to check utility.</w:t>
      </w:r>
    </w:p>
    <w:p>
      <w:pPr>
        <w:pStyle w:val="ListNumber"/>
      </w:pPr>
      <w:r>
        <w:rPr>
          <w:rFonts w:ascii="Calibri" w:hAnsi="Calibri"/>
          <w:b/>
          <w:i w:val="0"/>
          <w:color w:val="1A1A1A"/>
          <w:sz w:val="22"/>
        </w:rPr>
        <w:t>Reusable prompt:</w:t>
      </w:r>
      <w:r>
        <w:rPr>
          <w:rFonts w:ascii="Calibri" w:hAnsi="Calibri"/>
          <w:b w:val="0"/>
          <w:i w:val="0"/>
          <w:color w:val="1A1A1A"/>
          <w:sz w:val="22"/>
        </w:rPr>
        <w:t xml:space="preserve"> Formalise the instructions into a repeatable structure.</w:t>
      </w:r>
    </w:p>
    <w:p>
      <w:pPr>
        <w:pStyle w:val="ListNumber"/>
      </w:pPr>
      <w:r>
        <w:rPr>
          <w:rFonts w:ascii="Calibri" w:hAnsi="Calibri"/>
          <w:b/>
          <w:i w:val="0"/>
          <w:color w:val="1A1A1A"/>
          <w:sz w:val="22"/>
        </w:rPr>
        <w:t>Verification checklist:</w:t>
      </w:r>
      <w:r>
        <w:rPr>
          <w:rFonts w:ascii="Calibri" w:hAnsi="Calibri"/>
          <w:b w:val="0"/>
          <w:i w:val="0"/>
          <w:color w:val="1A1A1A"/>
          <w:sz w:val="22"/>
        </w:rPr>
        <w:t xml:space="preserve"> Integrate the professional standards (NMC, etc.) as checking rules.</w:t>
      </w:r>
    </w:p>
    <w:p>
      <w:pPr>
        <w:pStyle w:val="ListNumber"/>
      </w:pPr>
      <w:r>
        <w:rPr>
          <w:rFonts w:ascii="Calibri" w:hAnsi="Calibri"/>
          <w:b/>
          <w:i w:val="0"/>
          <w:color w:val="1A1A1A"/>
          <w:sz w:val="22"/>
        </w:rPr>
        <w:t>Define stop conditions:</w:t>
      </w:r>
      <w:r>
        <w:rPr>
          <w:rFonts w:ascii="Calibri" w:hAnsi="Calibri"/>
          <w:b w:val="0"/>
          <w:i w:val="0"/>
          <w:color w:val="1A1A1A"/>
          <w:sz w:val="22"/>
        </w:rPr>
        <w:t xml:space="preserve"> Explicitly list when the AI must escalate to a human.</w:t>
      </w:r>
    </w:p>
    <w:p>
      <w:pPr>
        <w:pStyle w:val="ListNumber"/>
      </w:pPr>
      <w:r>
        <w:rPr>
          <w:rFonts w:ascii="Calibri" w:hAnsi="Calibri"/>
          <w:b/>
          <w:i w:val="0"/>
          <w:color w:val="1A1A1A"/>
          <w:sz w:val="22"/>
        </w:rPr>
        <w:t>Stress testing:</w:t>
      </w:r>
      <w:r>
        <w:rPr>
          <w:rFonts w:ascii="Calibri" w:hAnsi="Calibri"/>
          <w:b w:val="0"/>
          <w:i w:val="0"/>
          <w:color w:val="1A1A1A"/>
          <w:sz w:val="22"/>
        </w:rPr>
        <w:t xml:space="preserve"> Test the loop with "messy" data, high-risk scenarios, and cases involving conflict.</w:t>
      </w:r>
    </w:p>
    <w:p>
      <w:pPr>
        <w:pStyle w:val="ListNumber"/>
      </w:pPr>
      <w:r>
        <w:rPr>
          <w:rFonts w:ascii="Calibri" w:hAnsi="Calibri"/>
          <w:b/>
          <w:i w:val="0"/>
          <w:color w:val="1A1A1A"/>
          <w:sz w:val="22"/>
        </w:rPr>
        <w:t>MDT review:</w:t>
      </w:r>
      <w:r>
        <w:rPr>
          <w:rFonts w:ascii="Calibri" w:hAnsi="Calibri"/>
          <w:b w:val="0"/>
          <w:i w:val="0"/>
          <w:color w:val="1A1A1A"/>
          <w:sz w:val="22"/>
        </w:rPr>
        <w:t xml:space="preserve"> Socialise the loop with PEFs, EDI leads, and IG colleagues for feedback.</w:t>
      </w:r>
    </w:p>
    <w:p>
      <w:pPr>
        <w:pStyle w:val="ListNumber"/>
      </w:pPr>
      <w:r>
        <w:rPr>
          <w:rFonts w:ascii="Calibri" w:hAnsi="Calibri"/>
          <w:b/>
          <w:i w:val="0"/>
          <w:color w:val="1A1A1A"/>
          <w:sz w:val="22"/>
        </w:rPr>
        <w:t>Governed automation:</w:t>
      </w:r>
      <w:r>
        <w:rPr>
          <w:rFonts w:ascii="Calibri" w:hAnsi="Calibri"/>
          <w:b w:val="0"/>
          <w:i w:val="0"/>
          <w:color w:val="1A1A1A"/>
          <w:sz w:val="22"/>
        </w:rPr>
        <w:t xml:space="preserve"> Move to automated triggers only after the manual process is proven safe.</w:t>
      </w:r>
    </w:p>
    <w:p>
      <w:pPr>
        <w:pStyle w:val="Heading2"/>
      </w:pPr>
      <w:r>
        <w:t>6. Implementation governance: the practice loop canvas</w:t>
      </w:r>
    </w:p>
    <w:p>
      <w:r>
        <w:rPr>
          <w:rFonts w:ascii="Calibri" w:hAnsi="Calibri"/>
          <w:b w:val="0"/>
          <w:i w:val="0"/>
          <w:color w:val="1A1A1A"/>
          <w:sz w:val="22"/>
        </w:rPr>
        <w:t>The Practice Loop Canvas is the mandatory design-thinking tool for ensuring every workflow is auditable and ethically sound.</w:t>
      </w:r>
    </w:p>
    <w:tbl>
      <w:tblPr>
        <w:tblStyle w:val="TableGrid"/>
        <w:tblW w:type="auto" w:w="0"/>
        <w:jc w:val="center"/>
        <w:tblLook w:firstColumn="1" w:firstRow="1" w:lastColumn="0" w:lastRow="0" w:noHBand="0" w:noVBand="1" w:val="04A0"/>
      </w:tblPr>
      <w:tblGrid>
        <w:gridCol w:w="4824"/>
        <w:gridCol w:w="4824"/>
      </w:tblGrid>
      <w:tr>
        <w:tc>
          <w:tcPr>
            <w:tcW w:type="dxa" w:w="4824"/>
            <w:tcMar>
              <w:top w:w="60" w:type="dxa"/>
              <w:bottom w:w="60" w:type="dxa"/>
              <w:start w:w="120" w:type="dxa"/>
              <w:end w:w="120" w:type="dxa"/>
            </w:tcMar>
            <w:shd w:val="clear" w:color="auto" w:fill="026A76"/>
          </w:tcPr>
          <w:p>
            <w:pPr>
              <w:spacing w:after="0"/>
            </w:pPr>
            <w:r>
              <w:rPr>
                <w:rFonts w:ascii="Calibri" w:hAnsi="Calibri"/>
                <w:b/>
                <w:i w:val="0"/>
                <w:color w:val="FFFFFF"/>
                <w:sz w:val="21"/>
              </w:rPr>
              <w:t>Field</w:t>
            </w:r>
          </w:p>
        </w:tc>
        <w:tc>
          <w:tcPr>
            <w:tcW w:type="dxa" w:w="4824"/>
            <w:tcMar>
              <w:top w:w="60" w:type="dxa"/>
              <w:bottom w:w="60" w:type="dxa"/>
              <w:start w:w="120" w:type="dxa"/>
              <w:end w:w="120" w:type="dxa"/>
            </w:tcMar>
            <w:shd w:val="clear" w:color="auto" w:fill="026A76"/>
          </w:tcPr>
          <w:p>
            <w:pPr>
              <w:spacing w:after="0"/>
            </w:pPr>
            <w:r>
              <w:rPr>
                <w:rFonts w:ascii="Calibri" w:hAnsi="Calibri"/>
                <w:b/>
                <w:i w:val="0"/>
                <w:color w:val="FFFFFF"/>
                <w:sz w:val="21"/>
              </w:rPr>
              <w:t>Description</w:t>
            </w:r>
          </w:p>
        </w:tc>
      </w:tr>
      <w:tr>
        <w:tc>
          <w:tcPr>
            <w:tcW w:type="dxa" w:w="4824"/>
            <w:tcMar>
              <w:top w:w="60" w:type="dxa"/>
              <w:bottom w:w="60" w:type="dxa"/>
              <w:start w:w="120" w:type="dxa"/>
              <w:end w:w="120" w:type="dxa"/>
            </w:tcMar>
          </w:tcPr>
          <w:p>
            <w:pPr>
              <w:spacing w:after="0"/>
            </w:pPr>
            <w:r>
              <w:rPr>
                <w:rFonts w:ascii="Calibri" w:hAnsi="Calibri"/>
                <w:b w:val="0"/>
                <w:i w:val="0"/>
                <w:color w:val="1A1A1A"/>
                <w:sz w:val="21"/>
              </w:rPr>
              <w:t>Problem</w:t>
            </w:r>
          </w:p>
        </w:tc>
        <w:tc>
          <w:tcPr>
            <w:tcW w:type="dxa" w:w="4824"/>
            <w:tcMar>
              <w:top w:w="60" w:type="dxa"/>
              <w:bottom w:w="60" w:type="dxa"/>
              <w:start w:w="120" w:type="dxa"/>
              <w:end w:w="120" w:type="dxa"/>
            </w:tcMar>
          </w:tcPr>
          <w:p>
            <w:pPr>
              <w:spacing w:after="0"/>
            </w:pPr>
            <w:r>
              <w:rPr>
                <w:rFonts w:ascii="Calibri" w:hAnsi="Calibri"/>
                <w:b w:val="0"/>
                <w:i w:val="0"/>
                <w:color w:val="1A1A1A"/>
                <w:sz w:val="21"/>
              </w:rPr>
              <w:t>The repeated friction or administrative burden being addressed.</w:t>
            </w:r>
          </w:p>
        </w:tc>
      </w:tr>
      <w:tr>
        <w:tc>
          <w:tcPr>
            <w:tcW w:type="dxa" w:w="4824"/>
            <w:tcMar>
              <w:top w:w="60" w:type="dxa"/>
              <w:bottom w:w="60" w:type="dxa"/>
              <w:start w:w="120" w:type="dxa"/>
              <w:end w:w="120" w:type="dxa"/>
            </w:tcMar>
            <w:shd w:val="clear" w:color="auto" w:fill="F1F7F7"/>
          </w:tcPr>
          <w:p>
            <w:pPr>
              <w:spacing w:after="0"/>
            </w:pPr>
            <w:r>
              <w:rPr>
                <w:rFonts w:ascii="Calibri" w:hAnsi="Calibri"/>
                <w:b w:val="0"/>
                <w:i w:val="0"/>
                <w:color w:val="1A1A1A"/>
                <w:sz w:val="21"/>
              </w:rPr>
              <w:t>Users</w:t>
            </w:r>
          </w:p>
        </w:tc>
        <w:tc>
          <w:tcPr>
            <w:tcW w:type="dxa" w:w="4824"/>
            <w:tcMar>
              <w:top w:w="60" w:type="dxa"/>
              <w:bottom w:w="60" w:type="dxa"/>
              <w:start w:w="120" w:type="dxa"/>
              <w:end w:w="120" w:type="dxa"/>
            </w:tcMar>
            <w:shd w:val="clear" w:color="auto" w:fill="F1F7F7"/>
          </w:tcPr>
          <w:p>
            <w:pPr>
              <w:spacing w:after="0"/>
            </w:pPr>
            <w:r>
              <w:rPr>
                <w:rFonts w:ascii="Calibri" w:hAnsi="Calibri"/>
                <w:b w:val="0"/>
                <w:i w:val="0"/>
                <w:color w:val="1A1A1A"/>
                <w:sz w:val="21"/>
              </w:rPr>
              <w:t>The specific professional roles responsible for the loop.</w:t>
            </w:r>
          </w:p>
        </w:tc>
      </w:tr>
      <w:tr>
        <w:tc>
          <w:tcPr>
            <w:tcW w:type="dxa" w:w="4824"/>
            <w:tcMar>
              <w:top w:w="60" w:type="dxa"/>
              <w:bottom w:w="60" w:type="dxa"/>
              <w:start w:w="120" w:type="dxa"/>
              <w:end w:w="120" w:type="dxa"/>
            </w:tcMar>
          </w:tcPr>
          <w:p>
            <w:pPr>
              <w:spacing w:after="0"/>
            </w:pPr>
            <w:r>
              <w:rPr>
                <w:rFonts w:ascii="Calibri" w:hAnsi="Calibri"/>
                <w:b w:val="0"/>
                <w:i w:val="0"/>
                <w:color w:val="1A1A1A"/>
                <w:sz w:val="21"/>
              </w:rPr>
              <w:t>Trigger</w:t>
            </w:r>
          </w:p>
        </w:tc>
        <w:tc>
          <w:tcPr>
            <w:tcW w:type="dxa" w:w="4824"/>
            <w:tcMar>
              <w:top w:w="60" w:type="dxa"/>
              <w:bottom w:w="60" w:type="dxa"/>
              <w:start w:w="120" w:type="dxa"/>
              <w:end w:w="120" w:type="dxa"/>
            </w:tcMar>
          </w:tcPr>
          <w:p>
            <w:pPr>
              <w:spacing w:after="0"/>
            </w:pPr>
            <w:r>
              <w:rPr>
                <w:rFonts w:ascii="Calibri" w:hAnsi="Calibri"/>
                <w:b w:val="0"/>
                <w:i w:val="0"/>
                <w:color w:val="1A1A1A"/>
                <w:sz w:val="21"/>
              </w:rPr>
              <w:t>The mechanism that starts the loop (manual or automated).</w:t>
            </w:r>
          </w:p>
        </w:tc>
      </w:tr>
      <w:tr>
        <w:tc>
          <w:tcPr>
            <w:tcW w:type="dxa" w:w="4824"/>
            <w:tcMar>
              <w:top w:w="60" w:type="dxa"/>
              <w:bottom w:w="60" w:type="dxa"/>
              <w:start w:w="120" w:type="dxa"/>
              <w:end w:w="120" w:type="dxa"/>
            </w:tcMar>
            <w:shd w:val="clear" w:color="auto" w:fill="F1F7F7"/>
          </w:tcPr>
          <w:p>
            <w:pPr>
              <w:spacing w:after="0"/>
            </w:pPr>
            <w:r>
              <w:rPr>
                <w:rFonts w:ascii="Calibri" w:hAnsi="Calibri"/>
                <w:b w:val="0"/>
                <w:i w:val="0"/>
                <w:color w:val="1A1A1A"/>
                <w:sz w:val="21"/>
              </w:rPr>
              <w:t>Input</w:t>
            </w:r>
          </w:p>
        </w:tc>
        <w:tc>
          <w:tcPr>
            <w:tcW w:type="dxa" w:w="4824"/>
            <w:tcMar>
              <w:top w:w="60" w:type="dxa"/>
              <w:bottom w:w="60" w:type="dxa"/>
              <w:start w:w="120" w:type="dxa"/>
              <w:end w:w="120" w:type="dxa"/>
            </w:tcMar>
            <w:shd w:val="clear" w:color="auto" w:fill="F1F7F7"/>
          </w:tcPr>
          <w:p>
            <w:pPr>
              <w:spacing w:after="0"/>
            </w:pPr>
            <w:r>
              <w:rPr>
                <w:rFonts w:ascii="Calibri" w:hAnsi="Calibri"/>
                <w:b w:val="0"/>
                <w:i w:val="0"/>
                <w:color w:val="1A1A1A"/>
                <w:sz w:val="21"/>
              </w:rPr>
              <w:t>The specific data (e.g., transcripts, reports) the loop requires.</w:t>
            </w:r>
          </w:p>
        </w:tc>
      </w:tr>
      <w:tr>
        <w:tc>
          <w:tcPr>
            <w:tcW w:type="dxa" w:w="4824"/>
            <w:tcMar>
              <w:top w:w="60" w:type="dxa"/>
              <w:bottom w:w="60" w:type="dxa"/>
              <w:start w:w="120" w:type="dxa"/>
              <w:end w:w="120" w:type="dxa"/>
            </w:tcMar>
          </w:tcPr>
          <w:p>
            <w:pPr>
              <w:spacing w:after="0"/>
            </w:pPr>
            <w:r>
              <w:rPr>
                <w:rFonts w:ascii="Calibri" w:hAnsi="Calibri"/>
                <w:b w:val="0"/>
                <w:i w:val="0"/>
                <w:color w:val="1A1A1A"/>
                <w:sz w:val="21"/>
              </w:rPr>
              <w:t>Task</w:t>
            </w:r>
          </w:p>
        </w:tc>
        <w:tc>
          <w:tcPr>
            <w:tcW w:type="dxa" w:w="4824"/>
            <w:tcMar>
              <w:top w:w="60" w:type="dxa"/>
              <w:bottom w:w="60" w:type="dxa"/>
              <w:start w:w="120" w:type="dxa"/>
              <w:end w:w="120" w:type="dxa"/>
            </w:tcMar>
          </w:tcPr>
          <w:p>
            <w:pPr>
              <w:spacing w:after="0"/>
            </w:pPr>
            <w:r>
              <w:rPr>
                <w:rFonts w:ascii="Calibri" w:hAnsi="Calibri"/>
                <w:b w:val="0"/>
                <w:i w:val="0"/>
                <w:color w:val="1A1A1A"/>
                <w:sz w:val="21"/>
              </w:rPr>
              <w:t>The specific output the AI must produce.</w:t>
            </w:r>
          </w:p>
        </w:tc>
      </w:tr>
      <w:tr>
        <w:tc>
          <w:tcPr>
            <w:tcW w:type="dxa" w:w="4824"/>
            <w:tcMar>
              <w:top w:w="60" w:type="dxa"/>
              <w:bottom w:w="60" w:type="dxa"/>
              <w:start w:w="120" w:type="dxa"/>
              <w:end w:w="120" w:type="dxa"/>
            </w:tcMar>
            <w:shd w:val="clear" w:color="auto" w:fill="F1F7F7"/>
          </w:tcPr>
          <w:p>
            <w:pPr>
              <w:spacing w:after="0"/>
            </w:pPr>
            <w:r>
              <w:rPr>
                <w:rFonts w:ascii="Calibri" w:hAnsi="Calibri"/>
                <w:b w:val="0"/>
                <w:i w:val="0"/>
                <w:color w:val="1A1A1A"/>
                <w:sz w:val="21"/>
              </w:rPr>
              <w:t>Standard</w:t>
            </w:r>
          </w:p>
        </w:tc>
        <w:tc>
          <w:tcPr>
            <w:tcW w:type="dxa" w:w="4824"/>
            <w:tcMar>
              <w:top w:w="60" w:type="dxa"/>
              <w:bottom w:w="60" w:type="dxa"/>
              <w:start w:w="120" w:type="dxa"/>
              <w:end w:w="120" w:type="dxa"/>
            </w:tcMar>
            <w:shd w:val="clear" w:color="auto" w:fill="F1F7F7"/>
          </w:tcPr>
          <w:p>
            <w:pPr>
              <w:spacing w:after="0"/>
            </w:pPr>
            <w:r>
              <w:rPr>
                <w:rFonts w:ascii="Calibri" w:hAnsi="Calibri"/>
                <w:b w:val="0"/>
                <w:i w:val="0"/>
                <w:color w:val="1A1A1A"/>
                <w:sz w:val="21"/>
              </w:rPr>
              <w:t>The professional benchmark (NMC Code, Trust Policy) used for checking.</w:t>
            </w:r>
          </w:p>
        </w:tc>
      </w:tr>
      <w:tr>
        <w:tc>
          <w:tcPr>
            <w:tcW w:type="dxa" w:w="4824"/>
            <w:tcMar>
              <w:top w:w="60" w:type="dxa"/>
              <w:bottom w:w="60" w:type="dxa"/>
              <w:start w:w="120" w:type="dxa"/>
              <w:end w:w="120" w:type="dxa"/>
            </w:tcMar>
          </w:tcPr>
          <w:p>
            <w:pPr>
              <w:spacing w:after="0"/>
            </w:pPr>
            <w:r>
              <w:rPr>
                <w:rFonts w:ascii="Calibri" w:hAnsi="Calibri"/>
                <w:b w:val="0"/>
                <w:i w:val="0"/>
                <w:color w:val="1A1A1A"/>
                <w:sz w:val="21"/>
              </w:rPr>
              <w:t>Verification</w:t>
            </w:r>
          </w:p>
        </w:tc>
        <w:tc>
          <w:tcPr>
            <w:tcW w:type="dxa" w:w="4824"/>
            <w:tcMar>
              <w:top w:w="60" w:type="dxa"/>
              <w:bottom w:w="60" w:type="dxa"/>
              <w:start w:w="120" w:type="dxa"/>
              <w:end w:w="120" w:type="dxa"/>
            </w:tcMar>
          </w:tcPr>
          <w:p>
            <w:pPr>
              <w:spacing w:after="0"/>
            </w:pPr>
            <w:r>
              <w:rPr>
                <w:rFonts w:ascii="Calibri" w:hAnsi="Calibri"/>
                <w:b w:val="0"/>
                <w:i w:val="0"/>
                <w:color w:val="1A1A1A"/>
                <w:sz w:val="21"/>
              </w:rPr>
              <w:t>The 10-point scoring questions used to judge quality.</w:t>
            </w:r>
          </w:p>
        </w:tc>
      </w:tr>
      <w:tr>
        <w:tc>
          <w:tcPr>
            <w:tcW w:type="dxa" w:w="4824"/>
            <w:tcMar>
              <w:top w:w="60" w:type="dxa"/>
              <w:bottom w:w="60" w:type="dxa"/>
              <w:start w:w="120" w:type="dxa"/>
              <w:end w:w="120" w:type="dxa"/>
            </w:tcMar>
            <w:shd w:val="clear" w:color="auto" w:fill="F1F7F7"/>
          </w:tcPr>
          <w:p>
            <w:pPr>
              <w:spacing w:after="0"/>
            </w:pPr>
            <w:r>
              <w:rPr>
                <w:rFonts w:ascii="Calibri" w:hAnsi="Calibri"/>
                <w:b w:val="0"/>
                <w:i w:val="0"/>
                <w:color w:val="1A1A1A"/>
                <w:sz w:val="21"/>
              </w:rPr>
              <w:t>Stop condition</w:t>
            </w:r>
          </w:p>
        </w:tc>
        <w:tc>
          <w:tcPr>
            <w:tcW w:type="dxa" w:w="4824"/>
            <w:tcMar>
              <w:top w:w="60" w:type="dxa"/>
              <w:bottom w:w="60" w:type="dxa"/>
              <w:start w:w="120" w:type="dxa"/>
              <w:end w:w="120" w:type="dxa"/>
            </w:tcMar>
            <w:shd w:val="clear" w:color="auto" w:fill="F1F7F7"/>
          </w:tcPr>
          <w:p>
            <w:pPr>
              <w:spacing w:after="0"/>
            </w:pPr>
            <w:r>
              <w:rPr>
                <w:rFonts w:ascii="Calibri" w:hAnsi="Calibri"/>
                <w:b w:val="0"/>
                <w:i w:val="0"/>
                <w:color w:val="1A1A1A"/>
                <w:sz w:val="21"/>
              </w:rPr>
              <w:t>Criteria that force immediate escalation to a human.</w:t>
            </w:r>
          </w:p>
        </w:tc>
      </w:tr>
      <w:tr>
        <w:tc>
          <w:tcPr>
            <w:tcW w:type="dxa" w:w="4824"/>
            <w:tcMar>
              <w:top w:w="60" w:type="dxa"/>
              <w:bottom w:w="60" w:type="dxa"/>
              <w:start w:w="120" w:type="dxa"/>
              <w:end w:w="120" w:type="dxa"/>
            </w:tcMar>
          </w:tcPr>
          <w:p>
            <w:pPr>
              <w:spacing w:after="0"/>
            </w:pPr>
            <w:r>
              <w:rPr>
                <w:rFonts w:ascii="Calibri" w:hAnsi="Calibri"/>
                <w:b w:val="0"/>
                <w:i w:val="0"/>
                <w:color w:val="1A1A1A"/>
                <w:sz w:val="21"/>
              </w:rPr>
              <w:t>Escalation</w:t>
            </w:r>
          </w:p>
        </w:tc>
        <w:tc>
          <w:tcPr>
            <w:tcW w:type="dxa" w:w="4824"/>
            <w:tcMar>
              <w:top w:w="60" w:type="dxa"/>
              <w:bottom w:w="60" w:type="dxa"/>
              <w:start w:w="120" w:type="dxa"/>
              <w:end w:w="120" w:type="dxa"/>
            </w:tcMar>
          </w:tcPr>
          <w:p>
            <w:pPr>
              <w:spacing w:after="0"/>
            </w:pPr>
            <w:r>
              <w:rPr>
                <w:rFonts w:ascii="Calibri" w:hAnsi="Calibri"/>
                <w:b w:val="0"/>
                <w:i w:val="0"/>
                <w:color w:val="1A1A1A"/>
                <w:sz w:val="21"/>
              </w:rPr>
              <w:t>The designated route for human review when risks are flagged.</w:t>
            </w:r>
          </w:p>
        </w:tc>
      </w:tr>
      <w:tr>
        <w:tc>
          <w:tcPr>
            <w:tcW w:type="dxa" w:w="4824"/>
            <w:tcMar>
              <w:top w:w="60" w:type="dxa"/>
              <w:bottom w:w="60" w:type="dxa"/>
              <w:start w:w="120" w:type="dxa"/>
              <w:end w:w="120" w:type="dxa"/>
            </w:tcMar>
            <w:shd w:val="clear" w:color="auto" w:fill="F1F7F7"/>
          </w:tcPr>
          <w:p>
            <w:pPr>
              <w:spacing w:after="0"/>
            </w:pPr>
            <w:r>
              <w:rPr>
                <w:rFonts w:ascii="Calibri" w:hAnsi="Calibri"/>
                <w:b w:val="0"/>
                <w:i w:val="0"/>
                <w:color w:val="1A1A1A"/>
                <w:sz w:val="21"/>
              </w:rPr>
              <w:t>Human sign-off</w:t>
            </w:r>
          </w:p>
        </w:tc>
        <w:tc>
          <w:tcPr>
            <w:tcW w:type="dxa" w:w="4824"/>
            <w:tcMar>
              <w:top w:w="60" w:type="dxa"/>
              <w:bottom w:w="60" w:type="dxa"/>
              <w:start w:w="120" w:type="dxa"/>
              <w:end w:w="120" w:type="dxa"/>
            </w:tcMar>
            <w:shd w:val="clear" w:color="auto" w:fill="F1F7F7"/>
          </w:tcPr>
          <w:p>
            <w:pPr>
              <w:spacing w:after="0"/>
            </w:pPr>
            <w:r>
              <w:rPr>
                <w:rFonts w:ascii="Calibri" w:hAnsi="Calibri"/>
                <w:b w:val="0"/>
                <w:i w:val="0"/>
                <w:color w:val="1A1A1A"/>
                <w:sz w:val="21"/>
              </w:rPr>
              <w:t>The named role accountable for the final decision/document.</w:t>
            </w:r>
          </w:p>
        </w:tc>
      </w:tr>
      <w:tr>
        <w:tc>
          <w:tcPr>
            <w:tcW w:type="dxa" w:w="4824"/>
            <w:tcMar>
              <w:top w:w="60" w:type="dxa"/>
              <w:bottom w:w="60" w:type="dxa"/>
              <w:start w:w="120" w:type="dxa"/>
              <w:end w:w="120" w:type="dxa"/>
            </w:tcMar>
          </w:tcPr>
          <w:p>
            <w:pPr>
              <w:spacing w:after="0"/>
            </w:pPr>
            <w:r>
              <w:rPr>
                <w:rFonts w:ascii="Calibri" w:hAnsi="Calibri"/>
                <w:b w:val="0"/>
                <w:i w:val="0"/>
                <w:color w:val="1A1A1A"/>
                <w:sz w:val="21"/>
              </w:rPr>
              <w:t>Risk &amp; equity</w:t>
            </w:r>
          </w:p>
        </w:tc>
        <w:tc>
          <w:tcPr>
            <w:tcW w:type="dxa" w:w="4824"/>
            <w:tcMar>
              <w:top w:w="60" w:type="dxa"/>
              <w:bottom w:w="60" w:type="dxa"/>
              <w:start w:w="120" w:type="dxa"/>
              <w:end w:w="120" w:type="dxa"/>
            </w:tcMar>
          </w:tcPr>
          <w:p>
            <w:pPr>
              <w:spacing w:after="0"/>
            </w:pPr>
            <w:r>
              <w:rPr>
                <w:rFonts w:ascii="Calibri" w:hAnsi="Calibri"/>
                <w:b w:val="0"/>
                <w:i w:val="0"/>
                <w:color w:val="1A1A1A"/>
                <w:sz w:val="21"/>
              </w:rPr>
              <w:t>Identification of bias risks or data protection requirements.</w:t>
            </w:r>
          </w:p>
        </w:tc>
      </w:tr>
      <w:tr>
        <w:tc>
          <w:tcPr>
            <w:tcW w:type="dxa" w:w="4824"/>
            <w:tcMar>
              <w:top w:w="60" w:type="dxa"/>
              <w:bottom w:w="60" w:type="dxa"/>
              <w:start w:w="120" w:type="dxa"/>
              <w:end w:w="120" w:type="dxa"/>
            </w:tcMar>
            <w:shd w:val="clear" w:color="auto" w:fill="F1F7F7"/>
          </w:tcPr>
          <w:p>
            <w:pPr>
              <w:spacing w:after="0"/>
            </w:pPr>
            <w:r>
              <w:rPr>
                <w:rFonts w:ascii="Calibri" w:hAnsi="Calibri"/>
                <w:b w:val="0"/>
                <w:i w:val="0"/>
                <w:color w:val="1A1A1A"/>
                <w:sz w:val="21"/>
              </w:rPr>
              <w:t>Success measure</w:t>
            </w:r>
          </w:p>
        </w:tc>
        <w:tc>
          <w:tcPr>
            <w:tcW w:type="dxa" w:w="4824"/>
            <w:tcMar>
              <w:top w:w="60" w:type="dxa"/>
              <w:bottom w:w="60" w:type="dxa"/>
              <w:start w:w="120" w:type="dxa"/>
              <w:end w:w="120" w:type="dxa"/>
            </w:tcMar>
            <w:shd w:val="clear" w:color="auto" w:fill="F1F7F7"/>
          </w:tcPr>
          <w:p>
            <w:pPr>
              <w:spacing w:after="0"/>
            </w:pPr>
            <w:r>
              <w:rPr>
                <w:rFonts w:ascii="Calibri" w:hAnsi="Calibri"/>
                <w:b w:val="0"/>
                <w:i w:val="0"/>
                <w:color w:val="1A1A1A"/>
                <w:sz w:val="21"/>
              </w:rPr>
              <w:t>The metric (e.g., time saved, SMART completion rate) for value.</w:t>
            </w:r>
          </w:p>
        </w:tc>
      </w:tr>
    </w:tbl>
    <w:p/>
    <w:p>
      <w:pPr>
        <w:pStyle w:val="Heading3"/>
      </w:pPr>
      <w:r>
        <w:t>Strategic use cases for nursing</w:t>
      </w:r>
    </w:p>
    <w:p>
      <w:pPr>
        <w:pStyle w:val="ListBullet"/>
      </w:pPr>
      <w:r>
        <w:rPr>
          <w:rFonts w:ascii="Calibri" w:hAnsi="Calibri"/>
          <w:b/>
          <w:i w:val="0"/>
          <w:color w:val="1A1A1A"/>
          <w:sz w:val="22"/>
        </w:rPr>
        <w:t>Placement support:</w:t>
      </w:r>
      <w:r>
        <w:rPr>
          <w:rFonts w:ascii="Calibri" w:hAnsi="Calibri"/>
          <w:b w:val="0"/>
          <w:i w:val="0"/>
          <w:color w:val="1A1A1A"/>
          <w:sz w:val="22"/>
        </w:rPr>
        <w:t xml:space="preserve"> Reviewing meeting notes to generate draft SMART action plans mapped to NMC values.</w:t>
      </w:r>
    </w:p>
    <w:p>
      <w:pPr>
        <w:pStyle w:val="ListBullet"/>
      </w:pPr>
      <w:r>
        <w:rPr>
          <w:rFonts w:ascii="Calibri" w:hAnsi="Calibri"/>
          <w:b/>
          <w:i w:val="0"/>
          <w:color w:val="1A1A1A"/>
          <w:sz w:val="22"/>
        </w:rPr>
        <w:t>Preceptorship:</w:t>
      </w:r>
      <w:r>
        <w:rPr>
          <w:rFonts w:ascii="Calibri" w:hAnsi="Calibri"/>
          <w:b w:val="0"/>
          <w:i w:val="0"/>
          <w:color w:val="1A1A1A"/>
          <w:sz w:val="22"/>
        </w:rPr>
        <w:t xml:space="preserve"> Summarising evidence gaps and clinical confidence mapping for three-month reviews.</w:t>
      </w:r>
    </w:p>
    <w:p>
      <w:pPr>
        <w:pStyle w:val="ListBullet"/>
      </w:pPr>
      <w:r>
        <w:rPr>
          <w:rFonts w:ascii="Calibri" w:hAnsi="Calibri"/>
          <w:b/>
          <w:i w:val="0"/>
          <w:color w:val="1A1A1A"/>
          <w:sz w:val="22"/>
        </w:rPr>
        <w:t>Clinical supervision:</w:t>
      </w:r>
      <w:r>
        <w:rPr>
          <w:rFonts w:ascii="Calibri" w:hAnsi="Calibri"/>
          <w:b w:val="0"/>
          <w:i w:val="0"/>
          <w:color w:val="1A1A1A"/>
          <w:sz w:val="22"/>
        </w:rPr>
        <w:t xml:space="preserve"> Extracting themes, reflective prompts, and wellbeing flags from supervision notes.</w:t>
      </w:r>
    </w:p>
    <w:p>
      <w:pPr>
        <w:pStyle w:val="ListBullet"/>
      </w:pPr>
      <w:r>
        <w:rPr>
          <w:rFonts w:ascii="Calibri" w:hAnsi="Calibri"/>
          <w:b/>
          <w:i w:val="0"/>
          <w:color w:val="1A1A1A"/>
          <w:sz w:val="22"/>
        </w:rPr>
        <w:t>EDI workforce intelligence:</w:t>
      </w:r>
      <w:r>
        <w:rPr>
          <w:rFonts w:ascii="Calibri" w:hAnsi="Calibri"/>
          <w:b w:val="0"/>
          <w:i w:val="0"/>
          <w:color w:val="1A1A1A"/>
          <w:sz w:val="22"/>
        </w:rPr>
        <w:t xml:space="preserve"> Reviewing workforce metrics to identify progression themes and representation gaps.</w:t>
      </w:r>
    </w:p>
    <w:p>
      <w:pPr>
        <w:pStyle w:val="ListBullet"/>
      </w:pPr>
      <w:r>
        <w:rPr>
          <w:rFonts w:ascii="Calibri" w:hAnsi="Calibri"/>
          <w:b/>
          <w:i w:val="0"/>
          <w:color w:val="1A1A1A"/>
          <w:sz w:val="22"/>
        </w:rPr>
        <w:t>Teaching resources:</w:t>
      </w:r>
      <w:r>
        <w:rPr>
          <w:rFonts w:ascii="Calibri" w:hAnsi="Calibri"/>
          <w:b w:val="0"/>
          <w:i w:val="0"/>
          <w:color w:val="1A1A1A"/>
          <w:sz w:val="22"/>
        </w:rPr>
        <w:t xml:space="preserve"> Drafting session plans and checking alignment with NMC Standards of Proficiency.</w:t>
      </w:r>
    </w:p>
    <w:p>
      <w:pPr>
        <w:pStyle w:val="Heading3"/>
      </w:pPr>
      <w:r>
        <w:t>Final governance questions</w:t>
      </w:r>
    </w:p>
    <w:p>
      <w:r>
        <w:rPr>
          <w:rFonts w:ascii="Calibri" w:hAnsi="Calibri"/>
          <w:b w:val="0"/>
          <w:i w:val="0"/>
          <w:color w:val="1A1A1A"/>
          <w:sz w:val="22"/>
        </w:rPr>
        <w:t>Prior to any institutional rollout, the following must be documented:</w:t>
      </w:r>
    </w:p>
    <w:p>
      <w:pPr>
        <w:pStyle w:val="ListNumber"/>
      </w:pPr>
      <w:r>
        <w:rPr>
          <w:rFonts w:ascii="Calibri" w:hAnsi="Calibri"/>
          <w:b/>
          <w:i w:val="0"/>
          <w:color w:val="1A1A1A"/>
          <w:sz w:val="22"/>
        </w:rPr>
        <w:t>Data sovereignty:</w:t>
      </w:r>
      <w:r>
        <w:rPr>
          <w:rFonts w:ascii="Calibri" w:hAnsi="Calibri"/>
          <w:b w:val="0"/>
          <w:i w:val="0"/>
          <w:color w:val="1A1A1A"/>
          <w:sz w:val="22"/>
        </w:rPr>
        <w:t xml:space="preserve"> Is the tool approved for the level of data being used (e.g., anonymised vs. identifiable)?</w:t>
      </w:r>
    </w:p>
    <w:p>
      <w:pPr>
        <w:pStyle w:val="ListNumber"/>
      </w:pPr>
      <w:r>
        <w:rPr>
          <w:rFonts w:ascii="Calibri" w:hAnsi="Calibri"/>
          <w:b/>
          <w:i w:val="0"/>
          <w:color w:val="1A1A1A"/>
          <w:sz w:val="22"/>
        </w:rPr>
        <w:t>Equity:</w:t>
      </w:r>
      <w:r>
        <w:rPr>
          <w:rFonts w:ascii="Calibri" w:hAnsi="Calibri"/>
          <w:b w:val="0"/>
          <w:i w:val="0"/>
          <w:color w:val="1A1A1A"/>
          <w:sz w:val="22"/>
        </w:rPr>
        <w:t xml:space="preserve"> Does the loop account for reasonable adjustments and avoid amplifying existing biases?</w:t>
      </w:r>
    </w:p>
    <w:p>
      <w:pPr>
        <w:pStyle w:val="ListNumber"/>
      </w:pPr>
      <w:r>
        <w:rPr>
          <w:rFonts w:ascii="Calibri" w:hAnsi="Calibri"/>
          <w:b/>
          <w:i w:val="0"/>
          <w:color w:val="1A1A1A"/>
          <w:sz w:val="22"/>
        </w:rPr>
        <w:t>Auditability:</w:t>
      </w:r>
      <w:r>
        <w:rPr>
          <w:rFonts w:ascii="Calibri" w:hAnsi="Calibri"/>
          <w:b w:val="0"/>
          <w:i w:val="0"/>
          <w:color w:val="1A1A1A"/>
          <w:sz w:val="22"/>
        </w:rPr>
        <w:t xml:space="preserve"> Is there a clear trace of the input, the verification steps, and the human sign-off?</w:t>
      </w:r>
    </w:p>
    <w:p>
      <w:pPr>
        <w:pStyle w:val="Heading2"/>
      </w:pPr>
      <w:r>
        <w:t>Conclusion</w:t>
      </w:r>
    </w:p>
    <w:p>
      <w:r>
        <w:rPr>
          <w:rFonts w:ascii="Calibri" w:hAnsi="Calibri"/>
          <w:b w:val="0"/>
          <w:i w:val="0"/>
          <w:color w:val="1A1A1A"/>
          <w:sz w:val="22"/>
        </w:rPr>
        <w:t>The goal of NCD is not to automate nursing judgment but to remove the administrative and cognitive friction surrounding it. By designing intelligent practice systems, we allow our workforce to refocus on what cannot be automated: clinical judgment, human relationships, and professional safety.</w:t>
      </w:r>
    </w:p>
    <w:p>
      <w:r>
        <w:rPr>
          <w:rFonts w:ascii="Calibri" w:hAnsi="Calibri"/>
          <w:b w:val="0"/>
          <w:i/>
          <w:color w:val="1A1A1A"/>
          <w:sz w:val="22"/>
        </w:rPr>
        <w:t>Nursing Citizen Development · Practice Loops framework by Lincoln Gombedza.</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mbria" w:hAnsi="Cambria"/>
      <w:b/>
      <w:bCs/>
      <w:color w:val="026A76"/>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mbria" w:hAnsi="Cambria"/>
      <w:b/>
      <w:bCs/>
      <w:color w:val="026A76"/>
      <w:sz w:val="30"/>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mbria" w:hAnsi="Cambria"/>
      <w:b/>
      <w:bCs/>
      <w:color w:val="07343B"/>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