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2690" w14:textId="7E4FC2DC" w:rsidR="00A02535" w:rsidRDefault="00000000">
      <w:pPr>
        <w:pStyle w:val="Title"/>
      </w:pPr>
      <w:r>
        <w:t>Clinical Signal</w:t>
      </w:r>
    </w:p>
    <w:p w14:paraId="08A448D1" w14:textId="77777777" w:rsidR="00A02535" w:rsidRDefault="00000000">
      <w:pPr>
        <w:spacing w:after="160"/>
      </w:pPr>
      <w:r>
        <w:rPr>
          <w:b/>
          <w:color w:val="2E75B6"/>
          <w:sz w:val="30"/>
        </w:rPr>
        <w:t>Strategic Technical Architecture Brief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02535" w14:paraId="65E6D2A1" w14:textId="77777777">
        <w:tc>
          <w:tcPr>
            <w:tcW w:w="468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18A3FFC" w14:textId="77777777" w:rsidR="00A02535" w:rsidRDefault="00000000">
            <w:pPr>
              <w:spacing w:after="0"/>
            </w:pPr>
            <w:r>
              <w:rPr>
                <w:b/>
                <w:color w:val="1F3352"/>
                <w:sz w:val="19"/>
              </w:rPr>
              <w:t xml:space="preserve">Prepared for: </w:t>
            </w:r>
            <w:r>
              <w:rPr>
                <w:sz w:val="19"/>
              </w:rPr>
              <w:t>Executive Review</w:t>
            </w:r>
          </w:p>
        </w:tc>
        <w:tc>
          <w:tcPr>
            <w:tcW w:w="468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C57A04" w14:textId="77777777" w:rsidR="00A02535" w:rsidRDefault="00000000">
            <w:pPr>
              <w:spacing w:after="0"/>
            </w:pPr>
            <w:r>
              <w:rPr>
                <w:b/>
                <w:color w:val="1F3352"/>
                <w:sz w:val="19"/>
              </w:rPr>
              <w:t xml:space="preserve">Audit Date: </w:t>
            </w:r>
            <w:r>
              <w:rPr>
                <w:sz w:val="19"/>
              </w:rPr>
              <w:t>May 28, 2026</w:t>
            </w:r>
          </w:p>
        </w:tc>
      </w:tr>
      <w:tr w:rsidR="00A02535" w14:paraId="09B27229" w14:textId="77777777">
        <w:tc>
          <w:tcPr>
            <w:tcW w:w="468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32B48E5" w14:textId="77777777" w:rsidR="00A02535" w:rsidRDefault="00000000">
            <w:pPr>
              <w:spacing w:after="0"/>
            </w:pPr>
            <w:r>
              <w:rPr>
                <w:b/>
                <w:color w:val="1F3352"/>
                <w:sz w:val="19"/>
              </w:rPr>
              <w:t xml:space="preserve">Repository: </w:t>
            </w:r>
            <w:r>
              <w:rPr>
                <w:sz w:val="19"/>
              </w:rPr>
              <w:t>clinical-signal-main</w:t>
            </w:r>
          </w:p>
        </w:tc>
        <w:tc>
          <w:tcPr>
            <w:tcW w:w="4680" w:type="dxa"/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E98744D" w14:textId="77777777" w:rsidR="00A02535" w:rsidRDefault="00000000">
            <w:pPr>
              <w:spacing w:after="0"/>
            </w:pPr>
            <w:r>
              <w:rPr>
                <w:b/>
                <w:color w:val="1F3352"/>
                <w:sz w:val="19"/>
              </w:rPr>
              <w:t xml:space="preserve">Methodology: </w:t>
            </w:r>
            <w:r>
              <w:rPr>
                <w:sz w:val="19"/>
              </w:rPr>
              <w:t>Full structural review of migrations, manifests, service boundaries, API surface, and clinical processing logic</w:t>
            </w:r>
          </w:p>
        </w:tc>
      </w:tr>
    </w:tbl>
    <w:p w14:paraId="1DD24D9D" w14:textId="77777777" w:rsidR="00A02535" w:rsidRDefault="00A02535">
      <w:pPr>
        <w:pBdr>
          <w:bottom w:val="single" w:sz="10" w:space="1" w:color="2E75B6"/>
        </w:pBdr>
        <w:spacing w:before="80"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2535" w14:paraId="09441EAA" w14:textId="77777777">
        <w:trPr>
          <w:jc w:val="center"/>
        </w:trPr>
        <w:tc>
          <w:tcPr>
            <w:tcW w:w="9360" w:type="dxa"/>
            <w:tcBorders>
              <w:left w:val="single" w:sz="30" w:space="0" w:color="2E75B6"/>
            </w:tcBorders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F834C9" w14:textId="77777777" w:rsidR="00A02535" w:rsidRDefault="00000000">
            <w:pPr>
              <w:spacing w:after="80"/>
            </w:pPr>
            <w:r>
              <w:rPr>
                <w:b/>
                <w:color w:val="1F3352"/>
                <w:sz w:val="24"/>
              </w:rPr>
              <w:t>Bottom Line Up Front</w:t>
            </w:r>
          </w:p>
          <w:p w14:paraId="780DD80F" w14:textId="77777777" w:rsidR="00A02535" w:rsidRDefault="00000000">
            <w:pPr>
              <w:spacing w:after="80"/>
            </w:pPr>
            <w:r>
              <w:t>Clinical Signal is a clinically sophisticated, feature-rich MVP — but it cannot serve a single real patient today. There is no production environment running, no encrypted object storage, and several access-control gaps that legally block the entry of real protected health information (PHI).</w:t>
            </w:r>
          </w:p>
          <w:p w14:paraId="4626BDDF" w14:textId="77777777" w:rsidR="00A02535" w:rsidRDefault="00000000">
            <w:pPr>
              <w:spacing w:after="80"/>
            </w:pPr>
            <w:r>
              <w:t>The product is roughly feature-complete; it is not launch-complete. Closing the gap to a first real-practitioner engagement is a focused, well-scoped effort — not a rebuild. We recommend a single production-readiness workstream (storage abstraction, role enforcement, encryption coverage, MFA, and AWS bring-up) executed before any real PHI is onboarded.</w:t>
            </w:r>
          </w:p>
          <w:p w14:paraId="574EE8C1" w14:textId="77777777" w:rsidR="00A02535" w:rsidRDefault="00000000">
            <w:pPr>
              <w:spacing w:after="0"/>
            </w:pPr>
            <w:r>
              <w:t>Estimated effort to a defensible, real-PHI-ready production launch: approximately 4–6 focused engineering weeks for one senior engineer, plus a short security review. The clinical reasoning quality — the actual moat — is already validated in local testing.</w:t>
            </w:r>
          </w:p>
        </w:tc>
      </w:tr>
    </w:tbl>
    <w:p w14:paraId="15591E7A" w14:textId="77777777" w:rsidR="00A02535" w:rsidRDefault="00A02535">
      <w:pPr>
        <w:spacing w:after="40"/>
      </w:pPr>
    </w:p>
    <w:p w14:paraId="16F2E313" w14:textId="77777777" w:rsidR="00A02535" w:rsidRDefault="00000000">
      <w:pPr>
        <w:pStyle w:val="Heading1"/>
      </w:pPr>
      <w:r>
        <w:t>1. Executive Summary &amp; Technology Topology</w:t>
      </w:r>
    </w:p>
    <w:p w14:paraId="7EFDFE94" w14:textId="77777777" w:rsidR="00A02535" w:rsidRDefault="00000000">
      <w:pPr>
        <w:pStyle w:val="Heading2"/>
      </w:pPr>
      <w:r>
        <w:t>Primary Business Objective</w:t>
      </w:r>
    </w:p>
    <w:p w14:paraId="711C7A2F" w14:textId="77777777" w:rsidR="00A02535" w:rsidRDefault="00000000">
      <w:r>
        <w:t>Clinical Signal is a HIPAA-oriented SaaS platform for functional-health practitioners. Its core job is to collapse the protocol-creation bottleneck — turning scattered patient data (intake, labs, documents) into two practitioner-ready outputs in minutes:</w:t>
      </w:r>
    </w:p>
    <w:p w14:paraId="6C88582E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Output A — Clinical Protocol: </w:t>
      </w:r>
      <w:r>
        <w:t>practitioner-facing synthesis with clinical reasoning, systems analysis, and sequencing logic.</w:t>
      </w:r>
    </w:p>
    <w:p w14:paraId="45ABC755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Output B — Phased Client Action Plan: </w:t>
      </w:r>
      <w:r>
        <w:t>plain-language, phased guidance the patient can actually follow.</w:t>
      </w:r>
    </w:p>
    <w:p w14:paraId="6A0AF400" w14:textId="77777777" w:rsidR="00A02535" w:rsidRDefault="00000000">
      <w:r>
        <w:t>The product targets solo, high-touch practitioners managing 5–15 active clients over 4–6 month engagements. The moat is not generic AI writing — it is functional-medicine-specific reasoning (root causes, system interconnections, clinical sequencing), plus an emerging Knowledge Orchestrator (Dr. Laura’s curated corpus) and future per-practitioner knowledge layers.</w:t>
      </w:r>
    </w:p>
    <w:p w14:paraId="413F81F6" w14:textId="77777777" w:rsidR="00A02535" w:rsidRDefault="00000000">
      <w:pPr>
        <w:pStyle w:val="Heading2"/>
      </w:pPr>
      <w:r>
        <w:lastRenderedPageBreak/>
        <w:t>Current Operational Posture</w:t>
      </w:r>
    </w:p>
    <w:tbl>
      <w:tblPr>
        <w:tblW w:w="0" w:type="auto"/>
        <w:jc w:val="center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527"/>
        <w:gridCol w:w="6833"/>
      </w:tblGrid>
      <w:tr w:rsidR="00A02535" w14:paraId="3854E3F4" w14:textId="77777777">
        <w:trPr>
          <w:jc w:val="center"/>
        </w:trPr>
        <w:tc>
          <w:tcPr>
            <w:tcW w:w="2527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98BAA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w="6833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FD5AB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A02535" w14:paraId="476D4ABD" w14:textId="77777777">
        <w:trPr>
          <w:jc w:val="center"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9D186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Feature completeness</w:t>
            </w:r>
          </w:p>
        </w:tc>
        <w:tc>
          <w:tcPr>
            <w:tcW w:w="6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7B8E8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~85% of planned MVP features built: intake, lab extraction, analysis, dual-output protocols, approval workflow, derivative outputs, audit log, foundations checklist.</w:t>
            </w:r>
          </w:p>
        </w:tc>
      </w:tr>
      <w:tr w:rsidR="00A02535" w14:paraId="198C5CCE" w14:textId="77777777">
        <w:trPr>
          <w:jc w:val="center"/>
        </w:trPr>
        <w:tc>
          <w:tcPr>
            <w:tcW w:w="2527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8FFD0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Production / compliance readiness</w:t>
            </w:r>
          </w:p>
        </w:tc>
        <w:tc>
          <w:tcPr>
            <w:tcW w:w="6833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AAF86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Far lower than feature-completeness implies. No production environment, no encrypted object storage, role-based access not enforced, no MFA — none of which are ‘features’ but all of which gate real-PHI launch.</w:t>
            </w:r>
          </w:p>
        </w:tc>
      </w:tr>
      <w:tr w:rsidR="00A02535" w14:paraId="47A927D8" w14:textId="77777777">
        <w:trPr>
          <w:jc w:val="center"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11C5C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Production hosting</w:t>
            </w:r>
          </w:p>
        </w:tc>
        <w:tc>
          <w:tcPr>
            <w:tcW w:w="6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9C0E0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None currently running. Aptible and Railway (prior PaaS hosts) retired; AWS migration designed but not yet provisioned.</w:t>
            </w:r>
          </w:p>
        </w:tc>
      </w:tr>
      <w:tr w:rsidR="00A02535" w14:paraId="0428F28E" w14:textId="77777777">
        <w:trPr>
          <w:jc w:val="center"/>
        </w:trPr>
        <w:tc>
          <w:tcPr>
            <w:tcW w:w="2527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A5479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Development</w:t>
            </w:r>
          </w:p>
        </w:tc>
        <w:tc>
          <w:tcPr>
            <w:tcW w:w="6833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78FA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Local-only via Docker Compose (docker compose up --build).</w:t>
            </w:r>
          </w:p>
        </w:tc>
      </w:tr>
      <w:tr w:rsidR="00A02535" w14:paraId="31A8938F" w14:textId="77777777">
        <w:trPr>
          <w:jc w:val="center"/>
        </w:trPr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DDC12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Real PHI</w:t>
            </w:r>
          </w:p>
        </w:tc>
        <w:tc>
          <w:tcPr>
            <w:tcW w:w="6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07802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Must not enter any environment until the BAA chain (Business Associate Agreements), role enforcement, and encrypted storage are complete.</w:t>
            </w:r>
          </w:p>
        </w:tc>
      </w:tr>
    </w:tbl>
    <w:p w14:paraId="2B319C95" w14:textId="77777777" w:rsidR="00A02535" w:rsidRDefault="00A02535">
      <w:pPr>
        <w:spacing w:after="40"/>
      </w:pPr>
    </w:p>
    <w:p w14:paraId="2950CC7C" w14:textId="77777777" w:rsidR="00A02535" w:rsidRDefault="00000000">
      <w:r>
        <w:rPr>
          <w:i/>
          <w:color w:val="5A636E"/>
          <w:sz w:val="19"/>
        </w:rPr>
        <w:t>Note on the 85% figure: feature-completeness and launch-readiness are different axes. The application can demonstrate nearly the full clinical workflow locally, yet remains unable to legally or operationally serve a paying practitioner with real patient data. Leadership should track these as two separate progress bars.</w:t>
      </w:r>
    </w:p>
    <w:p w14:paraId="1BC1680C" w14:textId="77777777" w:rsidR="00A02535" w:rsidRDefault="00000000">
      <w:pPr>
        <w:pStyle w:val="Heading2"/>
      </w:pPr>
      <w:r>
        <w:t>Technology Stack Topology</w:t>
      </w:r>
    </w:p>
    <w:tbl>
      <w:tblPr>
        <w:tblW w:w="0" w:type="auto"/>
        <w:jc w:val="center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059"/>
        <w:gridCol w:w="3744"/>
        <w:gridCol w:w="3557"/>
      </w:tblGrid>
      <w:tr w:rsidR="00A02535" w14:paraId="33F0D471" w14:textId="77777777">
        <w:trPr>
          <w:jc w:val="center"/>
        </w:trPr>
        <w:tc>
          <w:tcPr>
            <w:tcW w:w="2059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15445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744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AD8F2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557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19BC0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 w:rsidR="00A02535" w14:paraId="35203D32" w14:textId="77777777">
        <w:trPr>
          <w:jc w:val="center"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2B5AA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Frontend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00098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Next.js 14, React 18, TypeScript, Tailwind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385C9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Practitioner UI; server-side rendering of PHI</w:t>
            </w:r>
          </w:p>
        </w:tc>
      </w:tr>
      <w:tr w:rsidR="00A02535" w14:paraId="66B9F205" w14:textId="77777777">
        <w:trPr>
          <w:jc w:val="center"/>
        </w:trPr>
        <w:tc>
          <w:tcPr>
            <w:tcW w:w="2059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88473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Backend (primary)</w:t>
            </w:r>
          </w:p>
        </w:tc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E0F15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Next.js API routes + Server Actions</w:t>
            </w:r>
          </w:p>
        </w:tc>
        <w:tc>
          <w:tcPr>
            <w:tcW w:w="3557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9AA2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Auth, CRUD, streaming AI orchestration</w:t>
            </w:r>
          </w:p>
        </w:tc>
      </w:tr>
      <w:tr w:rsidR="00A02535" w14:paraId="5873FB52" w14:textId="77777777">
        <w:trPr>
          <w:jc w:val="center"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69A5D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Backend (compute)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C8E84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FastAPI 0.115, Uvicorn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448A7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Document pipeline, engine-side analysis/export, KB embeddings</w:t>
            </w:r>
          </w:p>
        </w:tc>
      </w:tr>
      <w:tr w:rsidR="00A02535" w14:paraId="792A5DC1" w14:textId="77777777">
        <w:trPr>
          <w:jc w:val="center"/>
        </w:trPr>
        <w:tc>
          <w:tcPr>
            <w:tcW w:w="2059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4BA8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Database</w:t>
            </w:r>
          </w:p>
        </w:tc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C6831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PostgreSQL 16 (pgvector / pg16)</w:t>
            </w:r>
          </w:p>
        </w:tc>
        <w:tc>
          <w:tcPr>
            <w:tcW w:w="3557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5D288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Structured PHI, JSONB clinical data, vector indexes</w:t>
            </w:r>
          </w:p>
        </w:tc>
      </w:tr>
      <w:tr w:rsidR="00A02535" w14:paraId="20327EB7" w14:textId="77777777">
        <w:trPr>
          <w:jc w:val="center"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BB7B6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Object storage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3B208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Docker volume (dev); S3 + KMS planned (AWS)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1D2D7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Lab PDFs, protocol exports</w:t>
            </w:r>
          </w:p>
        </w:tc>
      </w:tr>
      <w:tr w:rsidR="00A02535" w14:paraId="5736187B" w14:textId="77777777">
        <w:trPr>
          <w:jc w:val="center"/>
        </w:trPr>
        <w:tc>
          <w:tcPr>
            <w:tcW w:w="2059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3E894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AI / LLM</w:t>
            </w:r>
          </w:p>
        </w:tc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E5525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Anthropic Claude Sonnet 4.5 (TS + Python SDKs)</w:t>
            </w:r>
          </w:p>
        </w:tc>
        <w:tc>
          <w:tcPr>
            <w:tcW w:w="3557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57568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Analysis, lab extraction, protocol &amp; derivative generation</w:t>
            </w:r>
          </w:p>
        </w:tc>
      </w:tr>
      <w:tr w:rsidR="00A02535" w14:paraId="18CD49D1" w14:textId="77777777">
        <w:trPr>
          <w:jc w:val="center"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610A2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AI / embeddings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8EA8B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sentence-transformers (384-dim, engine only)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AD294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Semantic search over clinical_knowledge</w:t>
            </w:r>
          </w:p>
        </w:tc>
      </w:tr>
      <w:tr w:rsidR="00A02535" w14:paraId="5351CCDE" w14:textId="77777777">
        <w:trPr>
          <w:jc w:val="center"/>
        </w:trPr>
        <w:tc>
          <w:tcPr>
            <w:tcW w:w="2059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5866F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Auth &amp; tenancy</w:t>
            </w:r>
          </w:p>
        </w:tc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309F3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Custom DB sessions, bcrypt, HS256 engine JWTs</w:t>
            </w:r>
          </w:p>
        </w:tc>
        <w:tc>
          <w:tcPr>
            <w:tcW w:w="3557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1568A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Practitioner auth; tenant isolation via row-level security</w:t>
            </w:r>
          </w:p>
        </w:tc>
      </w:tr>
      <w:tr w:rsidR="00A02535" w14:paraId="7AC772F3" w14:textId="77777777">
        <w:trPr>
          <w:jc w:val="center"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D32B3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Validation / test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EAC88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Zod 4, Vitest (unit), Playwright (e2e)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DBD64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Schema validation; limited automated coverage</w:t>
            </w:r>
          </w:p>
        </w:tc>
      </w:tr>
      <w:tr w:rsidR="00A02535" w14:paraId="5A1AB68C" w14:textId="77777777">
        <w:trPr>
          <w:jc w:val="center"/>
        </w:trPr>
        <w:tc>
          <w:tcPr>
            <w:tcW w:w="2059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1DB5F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CI</w:t>
            </w:r>
          </w:p>
        </w:tc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9B889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GitHub Actions (validate.yml)</w:t>
            </w:r>
          </w:p>
        </w:tc>
        <w:tc>
          <w:tcPr>
            <w:tcW w:w="3557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1E42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Typecheck, unit tests, engine compile + pytest, migration hygiene</w:t>
            </w:r>
          </w:p>
        </w:tc>
      </w:tr>
      <w:tr w:rsidR="00A02535" w14:paraId="5BAF7593" w14:textId="77777777">
        <w:trPr>
          <w:jc w:val="center"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9FA44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Infrastructure (target)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2E1A3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AWS ECS Fargate, RDS Multi-AZ, S3, KMS, Bedrock, ALB, Terraform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7095F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Documented in infrastructure/aws/; not yet provisioned</w:t>
            </w:r>
          </w:p>
        </w:tc>
      </w:tr>
    </w:tbl>
    <w:p w14:paraId="753E702D" w14:textId="77777777" w:rsidR="00A02535" w:rsidRDefault="00A02535">
      <w:pPr>
        <w:spacing w:after="40"/>
      </w:pPr>
    </w:p>
    <w:p w14:paraId="77625E23" w14:textId="77777777" w:rsidR="00A02535" w:rsidRDefault="00000000">
      <w:pPr>
        <w:pStyle w:val="Heading2"/>
      </w:pPr>
      <w:r>
        <w:lastRenderedPageBreak/>
        <w:t>Consolidated Risk Register</w:t>
      </w:r>
    </w:p>
    <w:p w14:paraId="13C26538" w14:textId="77777777" w:rsidR="00A02535" w:rsidRDefault="00000000">
      <w:r>
        <w:t>The risks below are drawn from the May 2026 security audit and this structural review, prioritized by business consequence. Severity reflects exposure for a HIPAA product intended to handle real patient data.</w:t>
      </w:r>
    </w:p>
    <w:tbl>
      <w:tblPr>
        <w:tblW w:w="0" w:type="auto"/>
        <w:jc w:val="center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655"/>
        <w:gridCol w:w="2527"/>
        <w:gridCol w:w="3463"/>
        <w:gridCol w:w="2714"/>
      </w:tblGrid>
      <w:tr w:rsidR="00A02535" w14:paraId="5566B96D" w14:textId="77777777">
        <w:trPr>
          <w:jc w:val="center"/>
        </w:trPr>
        <w:tc>
          <w:tcPr>
            <w:tcW w:w="655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1DC9A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Sev.</w:t>
            </w:r>
          </w:p>
        </w:tc>
        <w:tc>
          <w:tcPr>
            <w:tcW w:w="2527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8CFD1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3463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976E4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Business consequence</w:t>
            </w:r>
          </w:p>
        </w:tc>
        <w:tc>
          <w:tcPr>
            <w:tcW w:w="2714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2ED4F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A02535" w14:paraId="216FB0E1" w14:textId="77777777">
        <w:trPr>
          <w:jc w:val="center"/>
        </w:trPr>
        <w:tc>
          <w:tcPr>
            <w:tcW w:w="655" w:type="dxa"/>
            <w:shd w:val="clear" w:color="auto" w:fill="FBEA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4809C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CRIT</w:t>
            </w:r>
          </w:p>
        </w:tc>
        <w:tc>
          <w:tcPr>
            <w:tcW w:w="2527" w:type="dxa"/>
            <w:shd w:val="clear" w:color="auto" w:fill="FBEA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6BDBC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No production environment or encrypted object storage</w:t>
            </w:r>
          </w:p>
        </w:tc>
        <w:tc>
          <w:tcPr>
            <w:tcW w:w="3463" w:type="dxa"/>
            <w:shd w:val="clear" w:color="auto" w:fill="FBEA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99FB4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Zero path to real revenue; cannot legally onboard PHI; files silently discarded on serverless deploys</w:t>
            </w:r>
          </w:p>
        </w:tc>
        <w:tc>
          <w:tcPr>
            <w:tcW w:w="2714" w:type="dxa"/>
            <w:shd w:val="clear" w:color="auto" w:fill="FBEA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07E08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PR-3 (storage abstraction) + AWS bring-up</w:t>
            </w:r>
          </w:p>
        </w:tc>
      </w:tr>
      <w:tr w:rsidR="00A02535" w14:paraId="58EA321E" w14:textId="77777777">
        <w:trPr>
          <w:jc w:val="center"/>
        </w:trPr>
        <w:tc>
          <w:tcPr>
            <w:tcW w:w="655" w:type="dxa"/>
            <w:shd w:val="clear" w:color="auto" w:fill="FBEA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17583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CRIT</w:t>
            </w:r>
          </w:p>
        </w:tc>
        <w:tc>
          <w:tcPr>
            <w:tcW w:w="2527" w:type="dxa"/>
            <w:shd w:val="clear" w:color="auto" w:fill="FBEA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61142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Role-based access control (RBAC) not enforced in code</w:t>
            </w:r>
          </w:p>
        </w:tc>
        <w:tc>
          <w:tcPr>
            <w:tcW w:w="3463" w:type="dxa"/>
            <w:shd w:val="clear" w:color="auto" w:fill="FBEA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0F5AE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Any authenticated user can approve protocols and export PHI regardless of role — a direct HIPAA access-control failure</w:t>
            </w:r>
          </w:p>
        </w:tc>
        <w:tc>
          <w:tcPr>
            <w:tcW w:w="2714" w:type="dxa"/>
            <w:shd w:val="clear" w:color="auto" w:fill="FBEA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DF2D8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PR-4 (role guards on mutating routes)</w:t>
            </w:r>
          </w:p>
        </w:tc>
      </w:tr>
      <w:tr w:rsidR="00A02535" w14:paraId="2C4AE167" w14:textId="77777777">
        <w:trPr>
          <w:jc w:val="center"/>
        </w:trPr>
        <w:tc>
          <w:tcPr>
            <w:tcW w:w="655" w:type="dxa"/>
            <w:shd w:val="clear" w:color="auto" w:fill="FBEA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18716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CRIT</w:t>
            </w:r>
          </w:p>
        </w:tc>
        <w:tc>
          <w:tcPr>
            <w:tcW w:w="2527" w:type="dxa"/>
            <w:shd w:val="clear" w:color="auto" w:fill="FBEA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816D6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Most narrative PHI stored as plaintext JSONB</w:t>
            </w:r>
          </w:p>
        </w:tc>
        <w:tc>
          <w:tcPr>
            <w:tcW w:w="3463" w:type="dxa"/>
            <w:shd w:val="clear" w:color="auto" w:fill="FBEA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0B9EE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Encryption covers only name/DOB; clinical narrative is exposed at rest</w:t>
            </w:r>
          </w:p>
        </w:tc>
        <w:tc>
          <w:tcPr>
            <w:tcW w:w="2714" w:type="dxa"/>
            <w:shd w:val="clear" w:color="auto" w:fill="FBEA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99D0D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Extend pgcrypto / column encryption; KMS at storage layer</w:t>
            </w:r>
          </w:p>
        </w:tc>
      </w:tr>
      <w:tr w:rsidR="00A02535" w14:paraId="3A76B69C" w14:textId="77777777">
        <w:trPr>
          <w:jc w:val="center"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5F28D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HIGH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6E5AA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Signup attaches new user to default tenant as owner</w:t>
            </w:r>
          </w:p>
        </w:tc>
        <w:tc>
          <w:tcPr>
            <w:tcW w:w="34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56772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Tenant isolation can be undermined at registration; privilege over-grant</w:t>
            </w:r>
          </w:p>
        </w:tc>
        <w:tc>
          <w:tcPr>
            <w:tcW w:w="27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E858F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Harden signup; require provisioned tenant + role</w:t>
            </w:r>
          </w:p>
        </w:tc>
      </w:tr>
      <w:tr w:rsidR="00A02535" w14:paraId="4E449C25" w14:textId="77777777">
        <w:trPr>
          <w:jc w:val="center"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85BA8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HIGH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125D5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Duplicated clinical-reasoning logic (web vs. engine)</w:t>
            </w:r>
          </w:p>
        </w:tc>
        <w:tc>
          <w:tcPr>
            <w:tcW w:w="34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52224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Divergent clinical output across paths — a patient-safety and liability concern in a medical product</w:t>
            </w:r>
          </w:p>
        </w:tc>
        <w:tc>
          <w:tcPr>
            <w:tcW w:w="27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B76AD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PR-2 (canonical analysis path)</w:t>
            </w:r>
          </w:p>
        </w:tc>
      </w:tr>
      <w:tr w:rsidR="00A02535" w14:paraId="1DEFE09D" w14:textId="77777777">
        <w:trPr>
          <w:jc w:val="center"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7145A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HIGH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4A387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Audit log mutable at the database layer</w:t>
            </w:r>
          </w:p>
        </w:tc>
        <w:tc>
          <w:tcPr>
            <w:tcW w:w="34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23BED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Compliance trail can be altered, undermining the audit story despite strong provenance capture</w:t>
            </w:r>
          </w:p>
        </w:tc>
        <w:tc>
          <w:tcPr>
            <w:tcW w:w="27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1AA52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Append-only enforcement / write-once storage</w:t>
            </w:r>
          </w:p>
        </w:tc>
      </w:tr>
      <w:tr w:rsidR="00A02535" w14:paraId="35A28A9B" w14:textId="77777777">
        <w:trPr>
          <w:jc w:val="center"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8A2D5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MED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B76E9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MFA not implemented</w:t>
            </w:r>
          </w:p>
        </w:tc>
        <w:tc>
          <w:tcPr>
            <w:tcW w:w="34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D7E99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Account-takeover exposure for accounts holding PHI</w:t>
            </w:r>
          </w:p>
        </w:tc>
        <w:tc>
          <w:tcPr>
            <w:tcW w:w="27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E5EAA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Dedicated security sprint before real PHI</w:t>
            </w:r>
          </w:p>
        </w:tc>
      </w:tr>
      <w:tr w:rsidR="00A02535" w14:paraId="14FFE627" w14:textId="77777777">
        <w:trPr>
          <w:jc w:val="center"/>
        </w:trPr>
        <w:tc>
          <w:tcPr>
            <w:tcW w:w="65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C370C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MED</w:t>
            </w:r>
          </w:p>
        </w:tc>
        <w:tc>
          <w:tcPr>
            <w:tcW w:w="25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89FEC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Documentation overstates reality (ARCHITECTURE.md)</w:t>
            </w:r>
          </w:p>
        </w:tc>
        <w:tc>
          <w:tcPr>
            <w:tcW w:w="34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C1565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ARCHITECTURE.md references NextAuth and claims RBAC that do not exist in code — misleads onboarding and audits</w:t>
            </w:r>
          </w:p>
        </w:tc>
        <w:tc>
          <w:tcPr>
            <w:tcW w:w="27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BCC7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Reconcile docs with implemented behavior</w:t>
            </w:r>
          </w:p>
        </w:tc>
      </w:tr>
    </w:tbl>
    <w:p w14:paraId="382D2110" w14:textId="77777777" w:rsidR="00A02535" w:rsidRDefault="00A02535">
      <w:pPr>
        <w:spacing w:after="40"/>
      </w:pPr>
    </w:p>
    <w:p w14:paraId="365A33D0" w14:textId="77777777" w:rsidR="00A02535" w:rsidRDefault="00000000">
      <w:r>
        <w:rPr>
          <w:i/>
          <w:color w:val="5A636E"/>
          <w:sz w:val="18"/>
        </w:rPr>
        <w:t>Severity legend: CRIT — blocks real-PHI launch and/or revenue; HIGH — material clinical, security, or architectural risk; MED — important but addressable in a dedicated sprint.</w:t>
      </w:r>
    </w:p>
    <w:p w14:paraId="3D82739A" w14:textId="77777777" w:rsidR="00A02535" w:rsidRDefault="00000000">
      <w:pPr>
        <w:pStyle w:val="Heading1"/>
      </w:pPr>
      <w:r>
        <w:t>2. Domain Data Models &amp; Schema Design</w:t>
      </w:r>
    </w:p>
    <w:p w14:paraId="5099A7E5" w14:textId="77777777" w:rsidR="00A02535" w:rsidRDefault="00000000">
      <w:r>
        <w:t>The schema is mature: 25 versioned SQL migrations (0001–0025) with append-only migration discipline and an idempotent runner (apps/web/scripts/migrate.mjs).</w:t>
      </w:r>
    </w:p>
    <w:p w14:paraId="31CAEAF0" w14:textId="77777777" w:rsidR="00A02535" w:rsidRDefault="00000000">
      <w:pPr>
        <w:pStyle w:val="Heading2"/>
      </w:pPr>
      <w:r>
        <w:t>Core Entity Model</w:t>
      </w:r>
    </w:p>
    <w:tbl>
      <w:tblPr>
        <w:tblW w:w="0" w:type="auto"/>
        <w:jc w:val="center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059"/>
        <w:gridCol w:w="3744"/>
        <w:gridCol w:w="3557"/>
      </w:tblGrid>
      <w:tr w:rsidR="00A02535" w14:paraId="2154FB2E" w14:textId="77777777">
        <w:trPr>
          <w:jc w:val="center"/>
        </w:trPr>
        <w:tc>
          <w:tcPr>
            <w:tcW w:w="2059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3BE7F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w="3744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FE8A7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557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D1254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Critical fields</w:t>
            </w:r>
          </w:p>
        </w:tc>
      </w:tr>
      <w:tr w:rsidR="00A02535" w14:paraId="5138910D" w14:textId="77777777">
        <w:trPr>
          <w:jc w:val="center"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4E54F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tenants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DDA20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Multi-tenant isolation unit (internally also ‘practice’)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5A99C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settings; lifecycle / practice identity columns (0022)</w:t>
            </w:r>
          </w:p>
        </w:tc>
      </w:tr>
      <w:tr w:rsidR="00A02535" w14:paraId="3259F66F" w14:textId="77777777">
        <w:trPr>
          <w:jc w:val="center"/>
        </w:trPr>
        <w:tc>
          <w:tcPr>
            <w:tcW w:w="2059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16F3A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practitioners</w:t>
            </w:r>
          </w:p>
        </w:tc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4ACD5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Authenticated users with RBAC role</w:t>
            </w:r>
          </w:p>
        </w:tc>
        <w:tc>
          <w:tcPr>
            <w:tcW w:w="3557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73A07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role (owner / practitioner / viewer); encrypted credentials</w:t>
            </w:r>
          </w:p>
        </w:tc>
      </w:tr>
      <w:tr w:rsidR="00A02535" w14:paraId="2FA1A51D" w14:textId="77777777">
        <w:trPr>
          <w:jc w:val="center"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FDCA3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patients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02AA9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Client records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1803F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name_encrypted, dob_encrypted (pgcrypto); intake_data JSONB; workflow status</w:t>
            </w:r>
          </w:p>
        </w:tc>
      </w:tr>
      <w:tr w:rsidR="00A02535" w14:paraId="40D55350" w14:textId="77777777">
        <w:trPr>
          <w:jc w:val="center"/>
        </w:trPr>
        <w:tc>
          <w:tcPr>
            <w:tcW w:w="2059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81429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records</w:t>
            </w:r>
          </w:p>
        </w:tc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A65CD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Uploaded clinical documents</w:t>
            </w:r>
          </w:p>
        </w:tc>
        <w:tc>
          <w:tcPr>
            <w:tcW w:w="3557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03B73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 xml:space="preserve">structured_data JSONB (extracted labs); </w:t>
            </w:r>
            <w:r>
              <w:rPr>
                <w:sz w:val="18"/>
              </w:rPr>
              <w:lastRenderedPageBreak/>
              <w:t>processing_status; encrypted text</w:t>
            </w:r>
          </w:p>
        </w:tc>
      </w:tr>
      <w:tr w:rsidR="00A02535" w14:paraId="5EC89166" w14:textId="77777777">
        <w:trPr>
          <w:jc w:val="center"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082B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lastRenderedPageBreak/>
              <w:t>analyses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83DDF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AI clinical synthesis runs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A9590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findings JSONB; input_record_ids; provenance (model_id, prompt_version, token_usage)</w:t>
            </w:r>
          </w:p>
        </w:tc>
      </w:tr>
      <w:tr w:rsidR="00A02535" w14:paraId="1AE31B9C" w14:textId="77777777">
        <w:trPr>
          <w:jc w:val="center"/>
        </w:trPr>
        <w:tc>
          <w:tcPr>
            <w:tcW w:w="2059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ED8F6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protocols</w:t>
            </w:r>
          </w:p>
        </w:tc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62637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Dual-output treatment plans</w:t>
            </w:r>
          </w:p>
        </w:tc>
        <w:tc>
          <w:tcPr>
            <w:tcW w:w="3557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4E573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clinical_content + client_content JSONB; versioning; approval status</w:t>
            </w:r>
          </w:p>
        </w:tc>
      </w:tr>
      <w:tr w:rsidR="00A02535" w14:paraId="1B67A1E4" w14:textId="77777777">
        <w:trPr>
          <w:jc w:val="center"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6F74E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patient_timeline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A37B0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Append-only event log (0007)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7384D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Chronological journey backbone — intake, labs, protocols, outcomes</w:t>
            </w:r>
          </w:p>
        </w:tc>
      </w:tr>
      <w:tr w:rsidR="00A02535" w14:paraId="29351DB6" w14:textId="77777777">
        <w:trPr>
          <w:jc w:val="center"/>
        </w:trPr>
        <w:tc>
          <w:tcPr>
            <w:tcW w:w="2059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A58FA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protocol_outputs</w:t>
            </w:r>
          </w:p>
        </w:tc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47505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Auto-generated derivatives on approval</w:t>
            </w:r>
          </w:p>
        </w:tc>
        <w:tc>
          <w:tcPr>
            <w:tcW w:w="3557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A0096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client_doc, call_deck, follow_up_email</w:t>
            </w:r>
          </w:p>
        </w:tc>
      </w:tr>
      <w:tr w:rsidR="00A02535" w14:paraId="2620FD40" w14:textId="77777777">
        <w:trPr>
          <w:jc w:val="center"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190D4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intake_documents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E05D3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Intake Hub uploads (transcripts, notes, PDFs)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221A1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Extracted text for analysis context</w:t>
            </w:r>
          </w:p>
        </w:tc>
      </w:tr>
      <w:tr w:rsidR="00A02535" w14:paraId="04E37C6E" w14:textId="77777777">
        <w:trPr>
          <w:jc w:val="center"/>
        </w:trPr>
        <w:tc>
          <w:tcPr>
            <w:tcW w:w="2059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038F8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audit_log</w:t>
            </w:r>
          </w:p>
        </w:tc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66F30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Compliance trail</w:t>
            </w:r>
          </w:p>
        </w:tc>
        <w:tc>
          <w:tcPr>
            <w:tcW w:w="3557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47043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Action, resource, IP, metadata — intended append-only</w:t>
            </w:r>
          </w:p>
        </w:tc>
      </w:tr>
      <w:tr w:rsidR="00A02535" w14:paraId="66541A47" w14:textId="77777777">
        <w:trPr>
          <w:jc w:val="center"/>
        </w:trPr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94362" w14:textId="77777777" w:rsidR="00A025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foundational_checklists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ABBA7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Pre-lab waiting-period assignments</w:t>
            </w:r>
          </w:p>
        </w:tc>
        <w:tc>
          <w:tcPr>
            <w:tcW w:w="35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DC038" w14:textId="77777777" w:rsidR="00A02535" w:rsidRDefault="00000000">
            <w:pPr>
              <w:spacing w:after="0" w:line="240" w:lineRule="auto"/>
            </w:pPr>
            <w:r>
              <w:rPr>
                <w:sz w:val="18"/>
              </w:rPr>
              <w:t>Assignable habit topics</w:t>
            </w:r>
          </w:p>
        </w:tc>
      </w:tr>
    </w:tbl>
    <w:p w14:paraId="43811266" w14:textId="77777777" w:rsidR="00A02535" w:rsidRDefault="00A02535">
      <w:pPr>
        <w:spacing w:after="40"/>
      </w:pPr>
    </w:p>
    <w:p w14:paraId="49ABAF84" w14:textId="77777777" w:rsidR="00A02535" w:rsidRDefault="00000000">
      <w:pPr>
        <w:pStyle w:val="Heading2"/>
      </w:pPr>
      <w:r>
        <w:t>Knowledge Layer Entities</w:t>
      </w:r>
    </w:p>
    <w:tbl>
      <w:tblPr>
        <w:tblW w:w="0" w:type="auto"/>
        <w:jc w:val="center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A02535" w14:paraId="15C87B2C" w14:textId="77777777">
        <w:trPr>
          <w:jc w:val="center"/>
        </w:trPr>
        <w:tc>
          <w:tcPr>
            <w:tcW w:w="3744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93A56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w="5616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FD7D8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A02535" w14:paraId="6B26A9E7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A0AA5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clinical_knowledge</w:t>
            </w:r>
          </w:p>
        </w:tc>
        <w:tc>
          <w:tcPr>
            <w:tcW w:w="56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7369B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Vector-indexed mentorship corpus (384-dim embeddings)</w:t>
            </w:r>
          </w:p>
        </w:tc>
      </w:tr>
      <w:tr w:rsidR="00A02535" w14:paraId="5BA3F009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0FBB4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clinical_concepts / clinical_relationships</w:t>
            </w:r>
          </w:p>
        </w:tc>
        <w:tc>
          <w:tcPr>
            <w:tcW w:w="561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4FABC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Knowledge graph for concept traversal</w:t>
            </w:r>
          </w:p>
        </w:tc>
      </w:tr>
      <w:tr w:rsidR="00A02535" w14:paraId="062CBCF8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C7F22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knowledge_leaders, knowledge_sources, knowledge_domains</w:t>
            </w:r>
          </w:p>
        </w:tc>
        <w:tc>
          <w:tcPr>
            <w:tcW w:w="56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60A7A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Knowledge Orchestrator provenance (0016)</w:t>
            </w:r>
          </w:p>
        </w:tc>
      </w:tr>
      <w:tr w:rsidR="00A02535" w14:paraId="4B7A0503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A36FA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practitioner_preferences</w:t>
            </w:r>
          </w:p>
        </w:tc>
        <w:tc>
          <w:tcPr>
            <w:tcW w:w="561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C2091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Prompt-injectable practitioner rules</w:t>
            </w:r>
          </w:p>
        </w:tc>
      </w:tr>
      <w:tr w:rsidR="00A02535" w14:paraId="1664C1A1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F0F9F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clinical_dialogues</w:t>
            </w:r>
          </w:p>
        </w:tc>
        <w:tc>
          <w:tcPr>
            <w:tcW w:w="56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6FDD5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AI-generated follow-up questions post-protocol</w:t>
            </w:r>
          </w:p>
        </w:tc>
      </w:tr>
    </w:tbl>
    <w:p w14:paraId="3264EAAC" w14:textId="77777777" w:rsidR="00A02535" w:rsidRDefault="00A02535">
      <w:pPr>
        <w:spacing w:after="40"/>
      </w:pPr>
    </w:p>
    <w:p w14:paraId="648B9044" w14:textId="77777777" w:rsidR="00A02535" w:rsidRDefault="00000000">
      <w:pPr>
        <w:pStyle w:val="Heading2"/>
      </w:pPr>
      <w:r>
        <w:t>Relational Structure &amp; Design Principles</w:t>
      </w:r>
    </w:p>
    <w:p w14:paraId="592A5AFE" w14:textId="77777777" w:rsidR="00A02535" w:rsidRDefault="00000000">
      <w:pPr>
        <w:pStyle w:val="ListNumber"/>
        <w:spacing w:after="60"/>
        <w:ind w:left="432"/>
      </w:pPr>
      <w:r>
        <w:t>Tenant isolation: every PHI table carries tenant_id; PostgreSQL row-level security (RLS) policies enforce tenant_id = current_setting('app.current_tenant_id') on both read and write (hardened in 0025).</w:t>
      </w:r>
    </w:p>
    <w:p w14:paraId="48F19764" w14:textId="77777777" w:rsidR="00A02535" w:rsidRDefault="00000000">
      <w:pPr>
        <w:pStyle w:val="ListNumber"/>
        <w:spacing w:after="60"/>
        <w:ind w:left="432"/>
      </w:pPr>
      <w:r>
        <w:t>Application role: runtime connects as app_user (a non-superuser), so RLS is authoritative and cannot be bypassed by superuser privileges.</w:t>
      </w:r>
    </w:p>
    <w:p w14:paraId="7749BE5A" w14:textId="77777777" w:rsidR="00A02535" w:rsidRDefault="00000000">
      <w:pPr>
        <w:pStyle w:val="ListNumber"/>
        <w:spacing w:after="60"/>
        <w:ind w:left="432"/>
      </w:pPr>
      <w:r>
        <w:t>Flexible clinical data: JSONB for intake, lab structures, findings, and protocol sections accommodates heterogeneous functional-medicine data without premature normalization.</w:t>
      </w:r>
    </w:p>
    <w:p w14:paraId="63187988" w14:textId="77777777" w:rsidR="00A02535" w:rsidRDefault="00000000">
      <w:pPr>
        <w:pStyle w:val="ListNumber"/>
        <w:spacing w:after="60"/>
        <w:ind w:left="432"/>
      </w:pPr>
      <w:r>
        <w:t>Provenance by design: every AI artifact records model, prompt version, and token usage for reproducibility and audit.</w:t>
      </w:r>
    </w:p>
    <w:p w14:paraId="3CFB338B" w14:textId="77777777" w:rsidR="00A02535" w:rsidRDefault="00000000">
      <w:pPr>
        <w:pStyle w:val="ListNumber"/>
        <w:spacing w:after="60"/>
        <w:ind w:left="432"/>
      </w:pPr>
      <w:r>
        <w:t>Timeline as narrative spine: patient_timeline is append-only and captures the full clinical journey — not just current state.</w:t>
      </w:r>
    </w:p>
    <w:p w14:paraId="0BF52CDF" w14:textId="77777777" w:rsidR="00A02535" w:rsidRDefault="00000000">
      <w:pPr>
        <w:pStyle w:val="Heading2"/>
      </w:pPr>
      <w:r>
        <w:t>Most Critical Data Points Captured</w:t>
      </w:r>
    </w:p>
    <w:p w14:paraId="57C72487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Intake: </w:t>
      </w:r>
      <w:r>
        <w:t>symptoms, history, lifestyle, goals, conditional branching responses.</w:t>
      </w:r>
    </w:p>
    <w:p w14:paraId="0DD12DC1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Labs: </w:t>
      </w:r>
      <w:r>
        <w:t>normalized test values, reference ranges, flags, extraction confidence.</w:t>
      </w:r>
    </w:p>
    <w:p w14:paraId="2CD50F5E" w14:textId="77777777" w:rsidR="00A02535" w:rsidRDefault="00000000">
      <w:pPr>
        <w:pStyle w:val="ListBullet"/>
        <w:spacing w:after="60"/>
        <w:ind w:left="432"/>
      </w:pPr>
      <w:r>
        <w:rPr>
          <w:b/>
        </w:rPr>
        <w:lastRenderedPageBreak/>
        <w:t xml:space="preserve">Analysis findings: </w:t>
      </w:r>
      <w:r>
        <w:t>systems analysis (HPA, gut, thyroid, etc.), chief patterns, sequencing recommendations, uncertainty flags, data gaps.</w:t>
      </w:r>
    </w:p>
    <w:p w14:paraId="04BB6337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Protocols: </w:t>
      </w:r>
      <w:r>
        <w:t>phased supplement / lifestyle / dietary recommendations in both clinical and client-facing forms.</w:t>
      </w:r>
    </w:p>
    <w:p w14:paraId="23D9F532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Practitioner context: </w:t>
      </w:r>
      <w:r>
        <w:t>preferences, uploaded documents, call transcripts.</w:t>
      </w:r>
    </w:p>
    <w:p w14:paraId="7BA04C30" w14:textId="77777777" w:rsidR="00A02535" w:rsidRDefault="00000000">
      <w:pPr>
        <w:pStyle w:val="Heading1"/>
      </w:pPr>
      <w:r>
        <w:t>3. Core Business Logic: What “Clinical Signal” Represents</w:t>
      </w:r>
    </w:p>
    <w:p w14:paraId="4F97C326" w14:textId="77777777" w:rsidR="00A02535" w:rsidRDefault="00000000">
      <w:r>
        <w:t>“Clinical Signal” is the product and repository name — not a single database column or microservice. Inside the system, the word “signal” is used in three senses, summarized below to avoid confusion in technical discussions.</w:t>
      </w:r>
    </w:p>
    <w:tbl>
      <w:tblPr>
        <w:tblW w:w="0" w:type="auto"/>
        <w:jc w:val="center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6552"/>
      </w:tblGrid>
      <w:tr w:rsidR="00A02535" w14:paraId="4B82ED4E" w14:textId="77777777">
        <w:trPr>
          <w:jc w:val="center"/>
        </w:trPr>
        <w:tc>
          <w:tcPr>
            <w:tcW w:w="2808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6706F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Sense</w:t>
            </w:r>
          </w:p>
        </w:tc>
        <w:tc>
          <w:tcPr>
            <w:tcW w:w="6552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40DD1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A02535" w14:paraId="47FC8A9E" w14:textId="77777777">
        <w:trPr>
          <w:jc w:val="center"/>
        </w:trPr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6B621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Product signal (primary)</w:t>
            </w:r>
          </w:p>
        </w:tc>
        <w:tc>
          <w:tcPr>
            <w:tcW w:w="65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6064C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Actionable clinical insight extracted from noisy, fragmented patient data — patterns, root causes, and sequencing a practitioner can act on.</w:t>
            </w:r>
          </w:p>
        </w:tc>
      </w:tr>
      <w:tr w:rsidR="00A02535" w14:paraId="41D88133" w14:textId="77777777">
        <w:trPr>
          <w:jc w:val="center"/>
        </w:trPr>
        <w:tc>
          <w:tcPr>
            <w:tcW w:w="2808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EB6A6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Analysis pipeline output</w:t>
            </w:r>
          </w:p>
        </w:tc>
        <w:tc>
          <w:tcPr>
            <w:tcW w:w="655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E3AF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Structured JSON findings from the clinical_analysis_v1 prompt — systems analysis, lab patterns, clinical picture.</w:t>
            </w:r>
          </w:p>
        </w:tc>
      </w:tr>
      <w:tr w:rsidR="00A02535" w14:paraId="433E36BB" w14:textId="77777777">
        <w:trPr>
          <w:jc w:val="center"/>
        </w:trPr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4617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Secondary / product-design usage</w:t>
            </w:r>
          </w:p>
        </w:tc>
        <w:tc>
          <w:tcPr>
            <w:tcW w:w="65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A9B8D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Learning-loop ‘negative signal,’ document ingestion ‘signal-to-noise,’ patient phase-advancement criteria.</w:t>
            </w:r>
          </w:p>
        </w:tc>
      </w:tr>
    </w:tbl>
    <w:p w14:paraId="44C67ADA" w14:textId="77777777" w:rsidR="00A02535" w:rsidRDefault="00A02535">
      <w:pPr>
        <w:spacing w:after="40"/>
      </w:pPr>
    </w:p>
    <w:p w14:paraId="0D63CBA6" w14:textId="77777777" w:rsidR="00A02535" w:rsidRDefault="00000000">
      <w:r>
        <w:t>The core value engine is the end-to-end transformation: patient data → clinical findings → dual protocol outputs → derivative deliverables.</w:t>
      </w:r>
    </w:p>
    <w:p w14:paraId="48885999" w14:textId="77777777" w:rsidR="00A02535" w:rsidRDefault="00000000">
      <w:pPr>
        <w:pStyle w:val="Heading2"/>
      </w:pPr>
      <w:r>
        <w:t>The “Signal” Payload, Stage by Stage</w:t>
      </w:r>
    </w:p>
    <w:p w14:paraId="31E22890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Stage 1 — Lab extraction (records.structured_data): </w:t>
      </w:r>
      <w:r>
        <w:t>normalized lab values (test, value, unit, reference range, flag) plus extraction metadata (model, prompt version, confidence).</w:t>
      </w:r>
    </w:p>
    <w:p w14:paraId="4C3AD7F4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Stage 2 — Clinical analysis (analyses.findings): </w:t>
      </w:r>
      <w:r>
        <w:t>summary; clinical_picture; systems_analysis[] per system with interconnections; key_lab_findings[]; clinical_sequencing; uncertainty[] and data_gaps[] (explicit epistemic humility); red_flags[].</w:t>
      </w:r>
    </w:p>
    <w:p w14:paraId="087B9BF6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Stage 3 — Protocol (clinical_content + client_content): </w:t>
      </w:r>
      <w:r>
        <w:t>structured sections — dietary, supplements, lifestyle, lab retest schedule, phased timeline; client plan uses warm, non-overwhelming phased language.</w:t>
      </w:r>
    </w:p>
    <w:p w14:paraId="091AEA90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Stage 4 — Derivatives (protocol_outputs.content): </w:t>
      </w:r>
      <w:r>
        <w:t>patient-facing document, call-deck slides, follow-up email draft.</w:t>
      </w:r>
    </w:p>
    <w:p w14:paraId="68A540A5" w14:textId="77777777" w:rsidR="00A02535" w:rsidRDefault="00000000">
      <w:pPr>
        <w:pStyle w:val="Heading2"/>
      </w:pPr>
      <w:r>
        <w:t>External Services &amp; Models Applied</w:t>
      </w:r>
    </w:p>
    <w:tbl>
      <w:tblPr>
        <w:tblW w:w="0" w:type="auto"/>
        <w:jc w:val="center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A02535" w14:paraId="3A2D43CF" w14:textId="77777777">
        <w:trPr>
          <w:jc w:val="center"/>
        </w:trPr>
        <w:tc>
          <w:tcPr>
            <w:tcW w:w="3744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DEBD6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5616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D27D0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Service / Model</w:t>
            </w:r>
          </w:p>
        </w:tc>
      </w:tr>
      <w:tr w:rsidR="00A02535" w14:paraId="32869E10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F2FBE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PDF text extraction</w:t>
            </w:r>
          </w:p>
        </w:tc>
        <w:tc>
          <w:tcPr>
            <w:tcW w:w="56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77A2C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PyMuPDF, pytesseract (engine)</w:t>
            </w:r>
          </w:p>
        </w:tc>
      </w:tr>
      <w:tr w:rsidR="00A02535" w14:paraId="6877009A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8880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Lab structuring</w:t>
            </w:r>
          </w:p>
        </w:tc>
        <w:tc>
          <w:tcPr>
            <w:tcW w:w="561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39BA6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Claude Sonnet 4.5 + lab_extraction_v1</w:t>
            </w:r>
          </w:p>
        </w:tc>
      </w:tr>
      <w:tr w:rsidR="00A02535" w14:paraId="2D289A35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EF0DB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Clinical analysis</w:t>
            </w:r>
          </w:p>
        </w:tc>
        <w:tc>
          <w:tcPr>
            <w:tcW w:w="56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AE464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Claude Sonnet 4.5 + clinical_analysis_v1</w:t>
            </w:r>
          </w:p>
        </w:tc>
      </w:tr>
      <w:tr w:rsidR="00A02535" w14:paraId="03DC6B41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0C0D8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Protocol generation</w:t>
            </w:r>
          </w:p>
        </w:tc>
        <w:tc>
          <w:tcPr>
            <w:tcW w:w="561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2CCEC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Claude Sonnet 4.5 + protocol_generation_v1</w:t>
            </w:r>
          </w:p>
        </w:tc>
      </w:tr>
      <w:tr w:rsidR="00A02535" w14:paraId="6321B58B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B5735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lastRenderedPageBreak/>
              <w:t>KB retrieval (web path)</w:t>
            </w:r>
          </w:p>
        </w:tc>
        <w:tc>
          <w:tcPr>
            <w:tcW w:w="56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D67BD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PostgreSQL ts_rank_cd full-text search (FTS)</w:t>
            </w:r>
          </w:p>
        </w:tc>
      </w:tr>
      <w:tr w:rsidR="00A02535" w14:paraId="0D3AD26A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E8751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KB retrieval (engine path)</w:t>
            </w:r>
          </w:p>
        </w:tc>
        <w:tc>
          <w:tcPr>
            <w:tcW w:w="561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9DE88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sentence-transformers embeddings + pgvector cosine</w:t>
            </w:r>
          </w:p>
        </w:tc>
      </w:tr>
      <w:tr w:rsidR="00A02535" w14:paraId="2633D1AF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6D92B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Safety validation</w:t>
            </w:r>
          </w:p>
        </w:tc>
        <w:tc>
          <w:tcPr>
            <w:tcW w:w="56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603FD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Post-generation rules in lib/safety-validation.ts</w:t>
            </w:r>
          </w:p>
        </w:tc>
      </w:tr>
      <w:tr w:rsidR="00A02535" w14:paraId="554498D0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FF912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PDF export</w:t>
            </w:r>
          </w:p>
        </w:tc>
        <w:tc>
          <w:tcPr>
            <w:tcW w:w="561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300DA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ReportLab (engine)</w:t>
            </w:r>
          </w:p>
        </w:tc>
      </w:tr>
    </w:tbl>
    <w:p w14:paraId="43A759E0" w14:textId="77777777" w:rsidR="00A02535" w:rsidRDefault="00A02535">
      <w:pPr>
        <w:spacing w:after="40"/>
      </w:pPr>
    </w:p>
    <w:p w14:paraId="062FB8F3" w14:textId="77777777" w:rsidR="00A02535" w:rsidRDefault="00000000">
      <w:pPr>
        <w:pStyle w:val="Heading2"/>
      </w:pPr>
      <w:r>
        <w:t>Architectural Note: Dual Execution Paths</w:t>
      </w:r>
    </w:p>
    <w:tbl>
      <w:tblPr>
        <w:tblW w:w="0" w:type="auto"/>
        <w:jc w:val="center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434"/>
        <w:gridCol w:w="3744"/>
        <w:gridCol w:w="3182"/>
      </w:tblGrid>
      <w:tr w:rsidR="00A02535" w14:paraId="2B14C1CF" w14:textId="77777777">
        <w:trPr>
          <w:jc w:val="center"/>
        </w:trPr>
        <w:tc>
          <w:tcPr>
            <w:tcW w:w="2434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6FC32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w="3744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5F3AA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Primary path (UI today)</w:t>
            </w:r>
          </w:p>
        </w:tc>
        <w:tc>
          <w:tcPr>
            <w:tcW w:w="3182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19103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Secondary path (engine)</w:t>
            </w:r>
          </w:p>
        </w:tc>
      </w:tr>
      <w:tr w:rsidR="00A02535" w14:paraId="5D2CFCA0" w14:textId="77777777">
        <w:trPr>
          <w:jc w:val="center"/>
        </w:trPr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F1FF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Clinical analysis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FAEA3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apps/web/lib/analysis.ts → Claude directly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B6561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 /analyze on FastAPI</w:t>
            </w:r>
          </w:p>
        </w:tc>
      </w:tr>
      <w:tr w:rsidR="00A02535" w14:paraId="270E6C88" w14:textId="77777777">
        <w:trPr>
          <w:jc w:val="center"/>
        </w:trPr>
        <w:tc>
          <w:tcPr>
            <w:tcW w:w="243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45D6B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Protocol generation</w:t>
            </w:r>
          </w:p>
        </w:tc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09CCC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Web API routes (streaming)</w:t>
            </w:r>
          </w:p>
        </w:tc>
        <w:tc>
          <w:tcPr>
            <w:tcW w:w="318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C3086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 /generate-protocol</w:t>
            </w:r>
          </w:p>
        </w:tc>
      </w:tr>
      <w:tr w:rsidR="00A02535" w14:paraId="2DB44E49" w14:textId="77777777">
        <w:trPr>
          <w:jc w:val="center"/>
        </w:trPr>
        <w:tc>
          <w:tcPr>
            <w:tcW w:w="24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66DCD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Lab extraction</w:t>
            </w:r>
          </w:p>
        </w:tc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F4DDA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Engine only (POST /extract)</w:t>
            </w:r>
          </w:p>
        </w:tc>
        <w:tc>
          <w:tcPr>
            <w:tcW w:w="31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A921D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—</w:t>
            </w:r>
          </w:p>
        </w:tc>
      </w:tr>
      <w:tr w:rsidR="00A02535" w14:paraId="60ED4A43" w14:textId="77777777">
        <w:trPr>
          <w:jc w:val="center"/>
        </w:trPr>
        <w:tc>
          <w:tcPr>
            <w:tcW w:w="243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C01A3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KB search</w:t>
            </w:r>
          </w:p>
        </w:tc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7B01E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Postgres full-text search (web)</w:t>
            </w:r>
          </w:p>
        </w:tc>
        <w:tc>
          <w:tcPr>
            <w:tcW w:w="318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C49EF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Vector search (engine)</w:t>
            </w:r>
          </w:p>
        </w:tc>
      </w:tr>
    </w:tbl>
    <w:p w14:paraId="0A46D086" w14:textId="77777777" w:rsidR="00A02535" w:rsidRDefault="00A0253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2535" w14:paraId="1B70467C" w14:textId="77777777">
        <w:trPr>
          <w:jc w:val="center"/>
        </w:trPr>
        <w:tc>
          <w:tcPr>
            <w:tcW w:w="9360" w:type="dxa"/>
            <w:tcBorders>
              <w:left w:val="single" w:sz="30" w:space="0" w:color="9A6A00"/>
            </w:tcBorders>
            <w:shd w:val="clear" w:color="auto" w:fill="FBF3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A5289" w14:textId="77777777" w:rsidR="00A02535" w:rsidRDefault="00000000">
            <w:pPr>
              <w:spacing w:after="80"/>
            </w:pPr>
            <w:r>
              <w:rPr>
                <w:b/>
                <w:color w:val="1F3352"/>
                <w:sz w:val="24"/>
              </w:rPr>
              <w:t>Why this matters to the business</w:t>
            </w:r>
          </w:p>
          <w:p w14:paraId="5BFD31E7" w14:textId="77777777" w:rsidR="00A02535" w:rsidRDefault="00000000">
            <w:pPr>
              <w:spacing w:after="0"/>
            </w:pPr>
            <w:r>
              <w:t>The codebase maintains two parallel implementations of the same clinical-reasoning logic. The practitioner UI calls the web path exclusively; the engine path uses different knowledge-base retrieval (vector vs. full-text). In a medical product, divergent reasoning between two code paths is not merely untidy — it is a patient-safety and liability risk, because the same patient could in principle receive materially different clinical guidance depending on which path runs. Establishing a single canonical path (PR-2) should be treated as risk reduction, not cleanup.</w:t>
            </w:r>
          </w:p>
        </w:tc>
      </w:tr>
    </w:tbl>
    <w:p w14:paraId="3D4CB52D" w14:textId="77777777" w:rsidR="00A02535" w:rsidRDefault="00A02535">
      <w:pPr>
        <w:spacing w:after="40"/>
      </w:pPr>
    </w:p>
    <w:p w14:paraId="42CF46AE" w14:textId="77777777" w:rsidR="00A02535" w:rsidRDefault="00000000">
      <w:pPr>
        <w:pStyle w:val="Heading1"/>
      </w:pPr>
      <w:r>
        <w:t>4. System Architecture &amp; Data Routing</w:t>
      </w:r>
    </w:p>
    <w:p w14:paraId="24D7580E" w14:textId="77777777" w:rsidR="00A02535" w:rsidRDefault="00000000">
      <w:pPr>
        <w:pStyle w:val="Heading2"/>
      </w:pPr>
      <w:r>
        <w:t>System Boundary</w:t>
      </w:r>
    </w:p>
    <w:p w14:paraId="7459D891" w14:textId="77777777" w:rsidR="00A02535" w:rsidRDefault="00000000">
      <w:r>
        <w:t>This repository is a full-stack monorepo containing a practitioner-facing web application (a deployable unit), an internal analysis-engine microservice (a deployable unit), and shared packages, database migrations, and infrastructure-as-code designs. It is not a standalone API consumed by an external frontend: the Next.js app is the sole user interface, and the Python engine is an internal service called over HTTP with signed JWTs — not public-facing.</w:t>
      </w:r>
    </w:p>
    <w:p w14:paraId="35D61775" w14:textId="77777777" w:rsidR="00A02535" w:rsidRDefault="00000000">
      <w:pPr>
        <w:pStyle w:val="Heading2"/>
      </w:pPr>
      <w:r>
        <w:t>Data Flow: Ingestion → Storage → Output</w:t>
      </w:r>
    </w:p>
    <w:p w14:paraId="714EA2D1" w14:textId="77777777" w:rsidR="00A02535" w:rsidRDefault="00000000">
      <w:pPr>
        <w:pStyle w:val="ListNumber"/>
        <w:spacing w:after="60"/>
        <w:ind w:left="432"/>
      </w:pPr>
      <w:r>
        <w:t>Practitioner authenticates → DB session created; tenant_id resolved.</w:t>
      </w:r>
    </w:p>
    <w:p w14:paraId="70C9186B" w14:textId="77777777" w:rsidR="00A02535" w:rsidRDefault="00000000">
      <w:pPr>
        <w:pStyle w:val="ListNumber"/>
        <w:spacing w:after="60"/>
        <w:ind w:left="432"/>
      </w:pPr>
      <w:r>
        <w:t>Every DB query → withTenantContext() sets the app.current_tenant_id setting inside a transaction.</w:t>
      </w:r>
    </w:p>
    <w:p w14:paraId="6DBAC1AC" w14:textId="77777777" w:rsidR="00A02535" w:rsidRDefault="00000000">
      <w:pPr>
        <w:pStyle w:val="ListNumber"/>
        <w:spacing w:after="60"/>
        <w:ind w:left="432"/>
      </w:pPr>
      <w:r>
        <w:t>Patient created → encrypted name / DOB; timeline event logged.</w:t>
      </w:r>
    </w:p>
    <w:p w14:paraId="30A4C69E" w14:textId="77777777" w:rsidR="00A02535" w:rsidRDefault="00000000">
      <w:pPr>
        <w:pStyle w:val="ListNumber"/>
        <w:spacing w:after="60"/>
        <w:ind w:left="432"/>
      </w:pPr>
      <w:r>
        <w:t>Intake submitted → patients.intake_data updated; timeline events.</w:t>
      </w:r>
    </w:p>
    <w:p w14:paraId="3C645ADD" w14:textId="77777777" w:rsidR="00A02535" w:rsidRDefault="00000000">
      <w:pPr>
        <w:pStyle w:val="ListNumber"/>
        <w:spacing w:after="60"/>
        <w:ind w:left="432"/>
      </w:pPr>
      <w:r>
        <w:t>Lab PDF uploaded → bytes written to shared volume (dev) → records row → async POST /extract to engine → structured data persisted.</w:t>
      </w:r>
    </w:p>
    <w:p w14:paraId="70FEA45A" w14:textId="77777777" w:rsidR="00A02535" w:rsidRDefault="00000000">
      <w:pPr>
        <w:pStyle w:val="ListNumber"/>
        <w:spacing w:after="60"/>
        <w:ind w:left="432"/>
      </w:pPr>
      <w:r>
        <w:lastRenderedPageBreak/>
        <w:t>Analysis requested → timeline gathered → Claude invoked → analyses row with encrypted raw response.</w:t>
      </w:r>
    </w:p>
    <w:p w14:paraId="73F40941" w14:textId="77777777" w:rsidR="00A02535" w:rsidRDefault="00000000">
      <w:pPr>
        <w:pStyle w:val="ListNumber"/>
        <w:spacing w:after="60"/>
        <w:ind w:left="432"/>
      </w:pPr>
      <w:r>
        <w:t>Protocol generated → findings + optional KB context → Claude → protocols row (draft).</w:t>
      </w:r>
    </w:p>
    <w:p w14:paraId="7413E67D" w14:textId="77777777" w:rsidR="00A02535" w:rsidRDefault="00000000">
      <w:pPr>
        <w:pStyle w:val="ListNumber"/>
        <w:spacing w:after="60"/>
        <w:ind w:left="432"/>
      </w:pPr>
      <w:r>
        <w:t>Protocol approved → status transition → derivative outputs generated → timeline events.</w:t>
      </w:r>
    </w:p>
    <w:p w14:paraId="3A7E4E8F" w14:textId="77777777" w:rsidR="00A02535" w:rsidRDefault="00000000">
      <w:pPr>
        <w:pStyle w:val="ListNumber"/>
        <w:spacing w:after="60"/>
        <w:ind w:left="432"/>
      </w:pPr>
      <w:r>
        <w:t>Export → engine renders PDF → stored as protocol_export record.</w:t>
      </w:r>
    </w:p>
    <w:p w14:paraId="1A989540" w14:textId="77777777" w:rsidR="00A02535" w:rsidRDefault="00000000">
      <w:pPr>
        <w:pStyle w:val="Heading2"/>
      </w:pPr>
      <w:r>
        <w:t>Patient-Scoped API Routes (apps/web/app/api/patients/[id]/)</w:t>
      </w:r>
    </w:p>
    <w:tbl>
      <w:tblPr>
        <w:tblW w:w="0" w:type="auto"/>
        <w:jc w:val="center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1404"/>
        <w:gridCol w:w="4212"/>
      </w:tblGrid>
      <w:tr w:rsidR="00A02535" w14:paraId="59097EB2" w14:textId="77777777">
        <w:trPr>
          <w:jc w:val="center"/>
        </w:trPr>
        <w:tc>
          <w:tcPr>
            <w:tcW w:w="3744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26ECC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w="1404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16AF0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4212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0696F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Function</w:t>
            </w:r>
          </w:p>
        </w:tc>
      </w:tr>
      <w:tr w:rsidR="00A02535" w14:paraId="7245CA3F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E556B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/analyze</w:t>
            </w:r>
          </w:p>
        </w:tc>
        <w:tc>
          <w:tcPr>
            <w:tcW w:w="14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FD325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41425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Stream clinical analysis</w:t>
            </w:r>
          </w:p>
        </w:tc>
      </w:tr>
      <w:tr w:rsidR="00A02535" w14:paraId="55573ECD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CC7FF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/generate-protocol</w:t>
            </w:r>
          </w:p>
        </w:tc>
        <w:tc>
          <w:tcPr>
            <w:tcW w:w="140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17E3E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421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4ED0E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Combined analyze + generate (alternative flow)</w:t>
            </w:r>
          </w:p>
        </w:tc>
      </w:tr>
      <w:tr w:rsidR="00A02535" w14:paraId="19854224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11D1C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/generate-from-analysis</w:t>
            </w:r>
          </w:p>
        </w:tc>
        <w:tc>
          <w:tcPr>
            <w:tcW w:w="14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7E76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E2CB1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Protocol from existing analysis</w:t>
            </w:r>
          </w:p>
        </w:tc>
      </w:tr>
      <w:tr w:rsidR="00A02535" w14:paraId="18C3170D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72FA1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/prep-brief</w:t>
            </w:r>
          </w:p>
        </w:tc>
        <w:tc>
          <w:tcPr>
            <w:tcW w:w="140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AF114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421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F71F2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Pre-call summary generation</w:t>
            </w:r>
          </w:p>
        </w:tc>
      </w:tr>
      <w:tr w:rsidR="00A02535" w14:paraId="5F409B37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801CD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/records</w:t>
            </w:r>
          </w:p>
        </w:tc>
        <w:tc>
          <w:tcPr>
            <w:tcW w:w="14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9D22A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0740B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Lab PDF upload</w:t>
            </w:r>
          </w:p>
        </w:tc>
      </w:tr>
      <w:tr w:rsidR="00A02535" w14:paraId="61846AF9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F8949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/intake-docs</w:t>
            </w:r>
          </w:p>
        </w:tc>
        <w:tc>
          <w:tcPr>
            <w:tcW w:w="140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29C79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421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99776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Intake Hub document upload</w:t>
            </w:r>
          </w:p>
        </w:tc>
      </w:tr>
      <w:tr w:rsidR="00A02535" w14:paraId="4D992342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8BBE2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/protocols</w:t>
            </w:r>
          </w:p>
        </w:tc>
        <w:tc>
          <w:tcPr>
            <w:tcW w:w="14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C9661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1F9CE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List patient protocols</w:t>
            </w:r>
          </w:p>
        </w:tc>
      </w:tr>
      <w:tr w:rsidR="00A02535" w14:paraId="468E43B8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A8980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/protocol/[id]/approve</w:t>
            </w:r>
          </w:p>
        </w:tc>
        <w:tc>
          <w:tcPr>
            <w:tcW w:w="140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9A3E7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421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1BBCB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Approve + trigger outputs</w:t>
            </w:r>
          </w:p>
        </w:tc>
      </w:tr>
      <w:tr w:rsidR="00A02535" w14:paraId="1D8BD7E7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8D61D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/protocol/[id]/export</w:t>
            </w:r>
          </w:p>
        </w:tc>
        <w:tc>
          <w:tcPr>
            <w:tcW w:w="14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B026E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92561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PDF export</w:t>
            </w:r>
          </w:p>
        </w:tc>
      </w:tr>
      <w:tr w:rsidR="00A02535" w14:paraId="405B66D8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66E58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/protocol/[id]/outputs</w:t>
            </w:r>
          </w:p>
        </w:tc>
        <w:tc>
          <w:tcPr>
            <w:tcW w:w="140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3ED00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421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7FA56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Derivative documents</w:t>
            </w:r>
          </w:p>
        </w:tc>
      </w:tr>
      <w:tr w:rsidR="00A02535" w14:paraId="7F61CCB0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54FC1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/protocol/[id]/dialogue</w:t>
            </w:r>
          </w:p>
        </w:tc>
        <w:tc>
          <w:tcPr>
            <w:tcW w:w="14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14613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42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A3221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Clinical follow-up questions</w:t>
            </w:r>
          </w:p>
        </w:tc>
      </w:tr>
      <w:tr w:rsidR="00A02535" w14:paraId="450ED917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67EAF" w14:textId="77777777" w:rsidR="00A02535" w:rsidRDefault="00000000">
            <w:pPr>
              <w:spacing w:after="0" w:line="240" w:lineRule="auto"/>
            </w:pPr>
            <w:r>
              <w:rPr>
                <w:b/>
                <w:sz w:val="19"/>
              </w:rPr>
              <w:t>/foundations</w:t>
            </w:r>
          </w:p>
        </w:tc>
        <w:tc>
          <w:tcPr>
            <w:tcW w:w="140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6FE6E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421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B894B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Foundational checklist</w:t>
            </w:r>
          </w:p>
        </w:tc>
      </w:tr>
    </w:tbl>
    <w:p w14:paraId="65AB0ED6" w14:textId="77777777" w:rsidR="00A02535" w:rsidRDefault="00A02535">
      <w:pPr>
        <w:spacing w:after="40"/>
      </w:pPr>
    </w:p>
    <w:p w14:paraId="6E650C85" w14:textId="77777777" w:rsidR="00A02535" w:rsidRDefault="00000000">
      <w:r>
        <w:rPr>
          <w:color w:val="5A636E"/>
          <w:sz w:val="19"/>
        </w:rPr>
        <w:t>Global routes: /api/audit-logs, /api/suggestions. Authentication uses custom session cookies (not NextAuth, despite the ARCHITECTURE.md reference); login / signup via Server Actions.</w:t>
      </w:r>
    </w:p>
    <w:p w14:paraId="359E2FEC" w14:textId="77777777" w:rsidR="00A02535" w:rsidRDefault="00000000">
      <w:pPr>
        <w:pStyle w:val="Heading2"/>
      </w:pPr>
      <w:r>
        <w:t>Engine Internal Routes (JWT-authenticated)</w:t>
      </w:r>
    </w:p>
    <w:tbl>
      <w:tblPr>
        <w:tblW w:w="0" w:type="auto"/>
        <w:jc w:val="center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A02535" w14:paraId="21486038" w14:textId="77777777">
        <w:trPr>
          <w:jc w:val="center"/>
        </w:trPr>
        <w:tc>
          <w:tcPr>
            <w:tcW w:w="3744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12FE7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w="5616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7691E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Function</w:t>
            </w:r>
          </w:p>
        </w:tc>
      </w:tr>
      <w:tr w:rsidR="00A02535" w14:paraId="0A26E87B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00049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GET /health</w:t>
            </w:r>
          </w:p>
        </w:tc>
        <w:tc>
          <w:tcPr>
            <w:tcW w:w="56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7D659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Load-balancer health (unauthenticated)</w:t>
            </w:r>
          </w:p>
        </w:tc>
      </w:tr>
      <w:tr w:rsidR="00A02535" w14:paraId="569E730C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697D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 /extract</w:t>
            </w:r>
          </w:p>
        </w:tc>
        <w:tc>
          <w:tcPr>
            <w:tcW w:w="561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899BB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Async lab PDF pipeline</w:t>
            </w:r>
          </w:p>
        </w:tc>
      </w:tr>
      <w:tr w:rsidR="00A02535" w14:paraId="0DD6FECF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8494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 /analyze</w:t>
            </w:r>
          </w:p>
        </w:tc>
        <w:tc>
          <w:tcPr>
            <w:tcW w:w="56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AE6D9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Synchronous clinical analysis</w:t>
            </w:r>
          </w:p>
        </w:tc>
      </w:tr>
      <w:tr w:rsidR="00A02535" w14:paraId="442E0C07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9F4DD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 /generate-protocol</w:t>
            </w:r>
          </w:p>
        </w:tc>
        <w:tc>
          <w:tcPr>
            <w:tcW w:w="561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37577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Protocol from analysis</w:t>
            </w:r>
          </w:p>
        </w:tc>
      </w:tr>
      <w:tr w:rsidR="00A02535" w14:paraId="05158A6D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0526B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 /export-protocol</w:t>
            </w:r>
          </w:p>
        </w:tc>
        <w:tc>
          <w:tcPr>
            <w:tcW w:w="56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69F98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PDF rendering</w:t>
            </w:r>
          </w:p>
        </w:tc>
      </w:tr>
      <w:tr w:rsidR="00A02535" w14:paraId="5907B999" w14:textId="77777777">
        <w:trPr>
          <w:jc w:val="center"/>
        </w:trPr>
        <w:tc>
          <w:tcPr>
            <w:tcW w:w="3744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C22FC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 /knowledge/search</w:t>
            </w:r>
          </w:p>
        </w:tc>
        <w:tc>
          <w:tcPr>
            <w:tcW w:w="5616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6D78B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Vector KB search</w:t>
            </w:r>
          </w:p>
        </w:tc>
      </w:tr>
      <w:tr w:rsidR="00A02535" w14:paraId="6DE78FB2" w14:textId="77777777">
        <w:trPr>
          <w:jc w:val="center"/>
        </w:trPr>
        <w:tc>
          <w:tcPr>
            <w:tcW w:w="37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81513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POST /knowledge/graph</w:t>
            </w:r>
          </w:p>
        </w:tc>
        <w:tc>
          <w:tcPr>
            <w:tcW w:w="56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D425B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Concept-graph traversal</w:t>
            </w:r>
          </w:p>
        </w:tc>
      </w:tr>
    </w:tbl>
    <w:p w14:paraId="67809C91" w14:textId="77777777" w:rsidR="00A02535" w:rsidRDefault="00A02535">
      <w:pPr>
        <w:spacing w:after="40"/>
      </w:pPr>
    </w:p>
    <w:p w14:paraId="4C035F16" w14:textId="77777777" w:rsidR="00A02535" w:rsidRDefault="00000000">
      <w:pPr>
        <w:pStyle w:val="Heading2"/>
      </w:pPr>
      <w:r>
        <w:t>Security Architecture</w:t>
      </w:r>
    </w:p>
    <w:p w14:paraId="3863A4DC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Strengths: </w:t>
      </w:r>
      <w:r>
        <w:t>RLS at the database layer; server-side PHI rendering; engine JWT auth (PR5); audit logging on mutations; 15-minute session idle timeout; PHI encryption for name / DOB.</w:t>
      </w:r>
    </w:p>
    <w:p w14:paraId="61B86BE7" w14:textId="77777777" w:rsidR="00A02535" w:rsidRDefault="00000000">
      <w:pPr>
        <w:pStyle w:val="ListBullet"/>
        <w:spacing w:after="60"/>
        <w:ind w:left="432"/>
      </w:pPr>
      <w:r>
        <w:rPr>
          <w:b/>
        </w:rPr>
        <w:lastRenderedPageBreak/>
        <w:t xml:space="preserve">Documented gaps (May 2026 audit): </w:t>
      </w:r>
      <w:r>
        <w:t>RBAC not enforced in application code; signup attaches to default tenant as owner; MFA not implemented; most narrative PHI stored in plaintext JSONB; audit log mutable at the DB layer; no production encrypted object storage yet. These gaps are tracked in the Risk Register above and must close before real PHI is onboarded.</w:t>
      </w:r>
    </w:p>
    <w:p w14:paraId="7B1070E7" w14:textId="77777777" w:rsidR="00A02535" w:rsidRDefault="00000000">
      <w:pPr>
        <w:pStyle w:val="Heading1"/>
      </w:pPr>
      <w:r>
        <w:t>5. Strategic PR Opportunities &amp; First Pull-Request Recommendations</w:t>
      </w:r>
    </w:p>
    <w:p w14:paraId="40C85504" w14:textId="77777777" w:rsidR="00A02535" w:rsidRDefault="00000000">
      <w:r>
        <w:t>Based on codebase maturity (~85% feature-complete), the infrastructure transition (local → AWS), and the identified technical debt, the following five high-impact tasks are recommended for an incoming engineer’s first PR cycle, ordered by leverage and risk reduction.</w:t>
      </w:r>
    </w:p>
    <w:p w14:paraId="6072411C" w14:textId="77777777" w:rsidR="00A02535" w:rsidRDefault="00000000">
      <w:pPr>
        <w:pStyle w:val="Heading3"/>
      </w:pPr>
      <w:r>
        <w:t>PR-1 — Fix Unit-Test Script &amp; CI Consistency (Quick win, ~2 hours)</w:t>
      </w:r>
    </w:p>
    <w:p w14:paraId="1A38B407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Problem: </w:t>
      </w:r>
      <w:r>
        <w:t>npm run test:unit globs Playwright e2e specs, causing Vitest failures. The README documents a workaround; CI uses it, but the script itself is broken.</w:t>
      </w:r>
    </w:p>
    <w:p w14:paraId="0C5F36C1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Impact: </w:t>
      </w:r>
      <w:r>
        <w:t>restores developer ergonomics; makes npm run test:unit trustworthy; reduces onboarding friction.</w:t>
      </w:r>
    </w:p>
    <w:p w14:paraId="3BC44528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Scope: </w:t>
      </w:r>
      <w:r>
        <w:t>scope Vitest to lib/__tests__/ only; optionally add a separate test:e2e alias.</w:t>
      </w:r>
    </w:p>
    <w:p w14:paraId="739DEE76" w14:textId="77777777" w:rsidR="00A02535" w:rsidRDefault="00000000">
      <w:pPr>
        <w:pStyle w:val="Heading3"/>
      </w:pPr>
      <w:r>
        <w:t>PR-2 — Establish Canonical Analysis Path &amp; Reduce Web/Engine Duplication (~3–5 days)</w:t>
      </w:r>
    </w:p>
    <w:p w14:paraId="0CD22A65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Problem: </w:t>
      </w:r>
      <w:r>
        <w:t>clinical analysis, protocol generation, and KB retrieval exist in both apps/web/lib/analysis.ts and services/analysis-engine/. The UI uses the web path; the engine path uses different KB retrieval (vector vs. full-text), creating silent behavioral-drift risk in clinical output.</w:t>
      </w:r>
    </w:p>
    <w:p w14:paraId="75B10C2D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Impact: </w:t>
      </w:r>
      <w:r>
        <w:t>architectural clarity; consistent clinical output regardless of deployment topology; prerequisite for AWS Bedrock migration (single LLM-client abstraction); directly reduces the patient-safety risk noted in Section 3.</w:t>
      </w:r>
    </w:p>
    <w:p w14:paraId="242D0FFD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Scope: </w:t>
      </w:r>
      <w:r>
        <w:t>document the canonical path; route web analysis through the engine (preferred) or extract shared prompt contracts into packages/shared; add a parity test comparing prompt versions and output schema.</w:t>
      </w:r>
    </w:p>
    <w:p w14:paraId="6FCB1747" w14:textId="77777777" w:rsidR="00A02535" w:rsidRDefault="00000000">
      <w:pPr>
        <w:pStyle w:val="Heading3"/>
      </w:pPr>
      <w:r>
        <w:t>PR-3 — Storage Abstraction Layer for Document Persistence (~3–4 days)</w:t>
      </w:r>
    </w:p>
    <w:p w14:paraId="5D48EBBD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Problem: </w:t>
      </w:r>
      <w:r>
        <w:t>lib/records.ts writes to a local Docker volume; serverless deployments discard file bytes entirely. Production requires S3 + KMS with pre-signed URLs — designed in infrastructure/aws/data.md but not implemented.</w:t>
      </w:r>
    </w:p>
    <w:p w14:paraId="51888FB2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Impact: </w:t>
      </w:r>
      <w:r>
        <w:t>unblocks AWS deployment; eliminates the largest dev-to-prod gap; prevents practitioners from believing files are stored when they are not.</w:t>
      </w:r>
    </w:p>
    <w:p w14:paraId="7EFD77ED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Scope: </w:t>
      </w:r>
      <w:r>
        <w:t>introduce a StorageProvider interface (local | s3); implement S3 with SSE-KMS and tenant-prefixed keys; store S3 keys in records.source_file_key; wire dev parity via LocalStack or MinIO.</w:t>
      </w:r>
    </w:p>
    <w:p w14:paraId="5CEEBE40" w14:textId="77777777" w:rsidR="00A02535" w:rsidRDefault="00000000">
      <w:pPr>
        <w:pStyle w:val="Heading3"/>
      </w:pPr>
      <w:r>
        <w:t>PR-4 — RBAC Enforcement on Mutating Routes (~2–3 days)</w:t>
      </w:r>
    </w:p>
    <w:p w14:paraId="4E058088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Problem: </w:t>
      </w:r>
      <w:r>
        <w:t>the May 2026 audit found that SessionUser.role is plumbed but never checked. Any authenticated practitioner can approve protocols, export PHI, and run analysis regardless of assigned role.</w:t>
      </w:r>
    </w:p>
    <w:p w14:paraId="4420AEBB" w14:textId="77777777" w:rsidR="00A02535" w:rsidRDefault="00000000">
      <w:pPr>
        <w:pStyle w:val="ListBullet"/>
        <w:spacing w:after="60"/>
        <w:ind w:left="432"/>
      </w:pPr>
      <w:r>
        <w:rPr>
          <w:b/>
        </w:rPr>
        <w:lastRenderedPageBreak/>
        <w:t xml:space="preserve">Impact: </w:t>
      </w:r>
      <w:r>
        <w:t>closes a CRITICAL HIPAA access-control gap; aligns runtime behavior with ARCHITECTURE.md claims.</w:t>
      </w:r>
    </w:p>
    <w:p w14:paraId="34DC2728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Scope: </w:t>
      </w:r>
      <w:r>
        <w:t>add a requireRole(['owner','practitioner']) guard in packages/core; apply to protocol approve, export, analysis, and settings routes; add Vitest coverage for denial cases.</w:t>
      </w:r>
    </w:p>
    <w:p w14:paraId="7CD70098" w14:textId="77777777" w:rsidR="00A02535" w:rsidRDefault="00000000">
      <w:pPr>
        <w:pStyle w:val="Heading3"/>
      </w:pPr>
      <w:r>
        <w:t>PR-5 — Expand Engine Test Coverage &amp; Add Pipeline Integration Test (~3–4 days)</w:t>
      </w:r>
    </w:p>
    <w:p w14:paraId="5F3EC9F8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Problem: </w:t>
      </w:r>
      <w:r>
        <w:t>the engine has only auth pytest tests; the web has six unit-test files. No end-to-end test validates the lab-extraction → analysis → protocol chain with synthetic data.</w:t>
      </w:r>
    </w:p>
    <w:p w14:paraId="06D70796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Impact: </w:t>
      </w:r>
      <w:r>
        <w:t>reduces regression risk in the highest-value code path; supports confident refactoring of the dual-path architecture.</w:t>
      </w:r>
    </w:p>
    <w:p w14:paraId="024ACCD4" w14:textId="77777777" w:rsidR="00A02535" w:rsidRDefault="00000000">
      <w:pPr>
        <w:pStyle w:val="ListBullet"/>
        <w:spacing w:after="60"/>
        <w:ind w:left="432"/>
      </w:pPr>
      <w:r>
        <w:rPr>
          <w:b/>
        </w:rPr>
        <w:t xml:space="preserve">Scope: </w:t>
      </w:r>
      <w:r>
        <w:t>add pytest fixtures for a synthetic patient timeline; test /extract stages with mock Claude responses; add a docker-compose integration job: upload PDF → extract → analyze → assert findings schema.</w:t>
      </w:r>
    </w:p>
    <w:p w14:paraId="0AA0917F" w14:textId="77777777" w:rsidR="00A02535" w:rsidRDefault="00000000">
      <w:pPr>
        <w:pStyle w:val="Heading2"/>
      </w:pPr>
      <w:r>
        <w:t>Path to Production (Sequencing &amp; Rough Timeline)</w:t>
      </w:r>
    </w:p>
    <w:p w14:paraId="4CFA7C9F" w14:textId="77777777" w:rsidR="00A02535" w:rsidRDefault="00000000">
      <w:r>
        <w:t>The PRs above are developer-facing increments. For leadership, the sequence to a defensible first real-PHI launch is:</w:t>
      </w:r>
    </w:p>
    <w:p w14:paraId="408BB52C" w14:textId="77777777" w:rsidR="00A02535" w:rsidRDefault="00000000">
      <w:pPr>
        <w:pStyle w:val="ListNumber"/>
        <w:spacing w:after="60"/>
        <w:ind w:left="432"/>
      </w:pPr>
      <w:r>
        <w:t>Weeks 1–2 — Production-blockers: PR-3 (storage) and PR-4 (RBAC) in parallel; begin AWS bring-up per infrastructure/aws/PLAN.md (8-step sequence).</w:t>
      </w:r>
    </w:p>
    <w:p w14:paraId="4AB2263C" w14:textId="77777777" w:rsidR="00A02535" w:rsidRDefault="00000000">
      <w:pPr>
        <w:pStyle w:val="ListNumber"/>
        <w:spacing w:after="60"/>
        <w:ind w:left="432"/>
      </w:pPr>
      <w:r>
        <w:t>Weeks 2–4 — Compliance &amp; correctness: extend PHI encryption beyond name/DOB; enforce audit-log immutability; PR-2 (canonical clinical path) to remove output-drift risk; harden signup.</w:t>
      </w:r>
    </w:p>
    <w:p w14:paraId="2F71B00D" w14:textId="77777777" w:rsidR="00A02535" w:rsidRDefault="00000000">
      <w:pPr>
        <w:pStyle w:val="ListNumber"/>
        <w:spacing w:after="60"/>
        <w:ind w:left="432"/>
      </w:pPr>
      <w:r>
        <w:t>Weeks 4–6 — Security &amp; confidence: MFA (dedicated security mini-sprint); PR-5 (pipeline integration tests); reconcile ARCHITECTURE.md with reality; security review before any real PHI.</w:t>
      </w:r>
    </w:p>
    <w:tbl>
      <w:tblPr>
        <w:tblW w:w="0" w:type="auto"/>
        <w:jc w:val="center"/>
        <w:tblBorders>
          <w:top w:val="single" w:sz="6" w:space="0" w:color="C9D3DE"/>
          <w:left w:val="single" w:sz="6" w:space="0" w:color="C9D3DE"/>
          <w:bottom w:val="single" w:sz="6" w:space="0" w:color="C9D3DE"/>
          <w:right w:val="single" w:sz="6" w:space="0" w:color="C9D3DE"/>
          <w:insideH w:val="single" w:sz="6" w:space="0" w:color="C9D3DE"/>
          <w:insideV w:val="single" w:sz="6" w:space="0" w:color="C9D3DE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6552"/>
      </w:tblGrid>
      <w:tr w:rsidR="00A02535" w14:paraId="00955BF9" w14:textId="77777777">
        <w:trPr>
          <w:jc w:val="center"/>
        </w:trPr>
        <w:tc>
          <w:tcPr>
            <w:tcW w:w="2808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BBDE9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Workstream</w:t>
            </w:r>
          </w:p>
        </w:tc>
        <w:tc>
          <w:tcPr>
            <w:tcW w:w="6552" w:type="dxa"/>
            <w:shd w:val="clear" w:color="auto" w:fill="1F335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16FA9" w14:textId="77777777" w:rsidR="00A02535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 w:rsidR="00A02535" w14:paraId="6A74063F" w14:textId="77777777">
        <w:trPr>
          <w:jc w:val="center"/>
        </w:trPr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60E0F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AWS bring-up</w:t>
            </w:r>
          </w:p>
        </w:tc>
        <w:tc>
          <w:tcPr>
            <w:tcW w:w="65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654E8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Follow the 8-step sequence in infrastructure/aws/PLAN.md; PR-3 and PR-2 should precede or parallel ECS deployment.</w:t>
            </w:r>
          </w:p>
        </w:tc>
      </w:tr>
      <w:tr w:rsidR="00A02535" w14:paraId="6DC292C7" w14:textId="77777777">
        <w:trPr>
          <w:jc w:val="center"/>
        </w:trPr>
        <w:tc>
          <w:tcPr>
            <w:tcW w:w="2808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0810C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Anthropic BAA → Bedrock</w:t>
            </w:r>
          </w:p>
        </w:tc>
        <w:tc>
          <w:tcPr>
            <w:tcW w:w="655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35AE2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The AWS BAA covers Bedrock; the planned migration eliminates the separate Anthropic enterprise contract.</w:t>
            </w:r>
          </w:p>
        </w:tc>
      </w:tr>
      <w:tr w:rsidR="00A02535" w14:paraId="35A99EB2" w14:textId="77777777">
        <w:trPr>
          <w:jc w:val="center"/>
        </w:trPr>
        <w:tc>
          <w:tcPr>
            <w:tcW w:w="28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5BC20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Knowledge Orchestrator</w:t>
            </w:r>
          </w:p>
        </w:tc>
        <w:tc>
          <w:tcPr>
            <w:tcW w:w="65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EFDC1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Schema complete; ingestion scripts exist (ingest_knowledge.py, ingest_pdf.py); integration into the primary protocol flow is Phase 2.</w:t>
            </w:r>
          </w:p>
        </w:tc>
      </w:tr>
      <w:tr w:rsidR="00A02535" w14:paraId="4A984A5D" w14:textId="77777777">
        <w:trPr>
          <w:jc w:val="center"/>
        </w:trPr>
        <w:tc>
          <w:tcPr>
            <w:tcW w:w="2808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9D460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MFA &amp; signup hardening</w:t>
            </w:r>
          </w:p>
        </w:tc>
        <w:tc>
          <w:tcPr>
            <w:tcW w:w="6552" w:type="dxa"/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54C2E" w14:textId="77777777" w:rsidR="00A02535" w:rsidRDefault="00000000">
            <w:pPr>
              <w:spacing w:after="0" w:line="240" w:lineRule="auto"/>
            </w:pPr>
            <w:r>
              <w:rPr>
                <w:sz w:val="19"/>
              </w:rPr>
              <w:t>Required before real PHI; a dedicated security sprint rather than a first PR.</w:t>
            </w:r>
          </w:p>
        </w:tc>
      </w:tr>
    </w:tbl>
    <w:p w14:paraId="4F69C0D4" w14:textId="77777777" w:rsidR="00A02535" w:rsidRDefault="00A02535">
      <w:pPr>
        <w:spacing w:after="40"/>
      </w:pPr>
    </w:p>
    <w:p w14:paraId="27176633" w14:textId="77777777" w:rsidR="00A02535" w:rsidRDefault="00000000">
      <w:pPr>
        <w:pStyle w:val="Heading1"/>
      </w:pPr>
      <w:r>
        <w:t>Summary Assessment</w:t>
      </w:r>
    </w:p>
    <w:p w14:paraId="47B87C8E" w14:textId="77777777" w:rsidR="00A02535" w:rsidRDefault="00000000">
      <w:r>
        <w:t>Clinical Signal is a substantially built, clinically sophisticated MVP with a well-designed data model, mature migration discipline, and a clear product thesis. The engineering center of gravity is the AI-driven clinical synthesis pipeline — not a discrete “signal” microservice, but a multi-stage transformation from fragmented patient inputs to structured findings and dual protocol outputs.</w:t>
      </w:r>
    </w:p>
    <w:p w14:paraId="0B8F3F1D" w14:textId="77777777" w:rsidR="00A02535" w:rsidRDefault="00000000">
      <w:r>
        <w:t xml:space="preserve">The primary strategic risks are infrastructure readiness (no production environment; storage not abstracted), security enforcement gaps (RBAC, signup, encryption coverage), and architectural duplication (web vs. engine </w:t>
      </w:r>
      <w:r>
        <w:lastRenderedPageBreak/>
        <w:t>analysis paths with divergent KB retrieval, which carries clinical-output risk). Addressing these in the recommended sequence positions the platform for AWS deployment and real-practitioner onboarding without compromising the clinical output quality that Dr. Laura has already validated in local testing.</w:t>
      </w:r>
    </w:p>
    <w:p w14:paraId="1174E1C0" w14:textId="77777777" w:rsidR="00A02535" w:rsidRDefault="00000000">
      <w:r>
        <w:t>In short: the hard, differentiating work — the clinical reasoning — is largely done. What remains is disciplined production and compliance engineering, scoped at roughly 4–6 focused weeks. That is a favorable position for a product of this ambition.</w:t>
      </w:r>
    </w:p>
    <w:p w14:paraId="4C054EA7" w14:textId="77777777" w:rsidR="00A02535" w:rsidRDefault="00A02535">
      <w:pPr>
        <w:pBdr>
          <w:bottom w:val="single" w:sz="8" w:space="1" w:color="2E75B6"/>
        </w:pBdr>
        <w:spacing w:before="80" w:after="160"/>
      </w:pPr>
    </w:p>
    <w:p w14:paraId="02A73696" w14:textId="77777777" w:rsidR="00A02535" w:rsidRDefault="00000000">
      <w:r>
        <w:rPr>
          <w:i/>
          <w:color w:val="5A636E"/>
          <w:sz w:val="18"/>
        </w:rPr>
        <w:t>This brief reflects repository state as of May 28, 2026. Infrastructure status per README: Aptible and Railway retired; AWS migration in progress; all development and testing occurs locally via Docker Compose.</w:t>
      </w:r>
    </w:p>
    <w:sectPr w:rsidR="00A02535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0424C" w14:textId="77777777" w:rsidR="00712B5E" w:rsidRDefault="00712B5E">
      <w:pPr>
        <w:spacing w:after="0" w:line="240" w:lineRule="auto"/>
      </w:pPr>
      <w:r>
        <w:separator/>
      </w:r>
    </w:p>
  </w:endnote>
  <w:endnote w:type="continuationSeparator" w:id="0">
    <w:p w14:paraId="606F5E6F" w14:textId="77777777" w:rsidR="00712B5E" w:rsidRDefault="00712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26AF" w14:textId="77777777" w:rsidR="00A02535" w:rsidRDefault="00000000">
    <w:pPr>
      <w:pStyle w:val="Footer"/>
      <w:jc w:val="center"/>
    </w:pPr>
    <w:r>
      <w:rPr>
        <w:color w:val="5A636E"/>
        <w:sz w:val="16"/>
      </w:rPr>
      <w:t xml:space="preserve">Clinical Signal — Strategic Technical Architecture Brief      </w:t>
    </w:r>
    <w:r>
      <w:fldChar w:fldCharType="begin"/>
    </w:r>
    <w:r>
      <w:instrText>PAGE</w:instrText>
    </w:r>
    <w:r>
      <w:fldChar w:fldCharType="separate"/>
    </w:r>
    <w:r w:rsidR="00301847">
      <w:rPr>
        <w:noProof/>
      </w:rPr>
      <w:t>1</w:t>
    </w:r>
    <w:r>
      <w:fldChar w:fldCharType="end"/>
    </w:r>
    <w:r>
      <w:rPr>
        <w:color w:val="5A636E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30184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832D5" w14:textId="77777777" w:rsidR="00712B5E" w:rsidRDefault="00712B5E">
      <w:pPr>
        <w:spacing w:after="0" w:line="240" w:lineRule="auto"/>
      </w:pPr>
      <w:r>
        <w:separator/>
      </w:r>
    </w:p>
  </w:footnote>
  <w:footnote w:type="continuationSeparator" w:id="0">
    <w:p w14:paraId="697B061E" w14:textId="77777777" w:rsidR="00712B5E" w:rsidRDefault="00712B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913211">
    <w:abstractNumId w:val="8"/>
  </w:num>
  <w:num w:numId="2" w16cid:durableId="861896436">
    <w:abstractNumId w:val="6"/>
  </w:num>
  <w:num w:numId="3" w16cid:durableId="122162691">
    <w:abstractNumId w:val="5"/>
  </w:num>
  <w:num w:numId="4" w16cid:durableId="965619046">
    <w:abstractNumId w:val="4"/>
  </w:num>
  <w:num w:numId="5" w16cid:durableId="1056315335">
    <w:abstractNumId w:val="7"/>
  </w:num>
  <w:num w:numId="6" w16cid:durableId="1906451676">
    <w:abstractNumId w:val="3"/>
  </w:num>
  <w:num w:numId="7" w16cid:durableId="386422077">
    <w:abstractNumId w:val="2"/>
  </w:num>
  <w:num w:numId="8" w16cid:durableId="447164021">
    <w:abstractNumId w:val="1"/>
  </w:num>
  <w:num w:numId="9" w16cid:durableId="163613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847"/>
    <w:rsid w:val="00326F90"/>
    <w:rsid w:val="00712B5E"/>
    <w:rsid w:val="009A0C57"/>
    <w:rsid w:val="00A025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DCC10"/>
  <w14:defaultImageDpi w14:val="300"/>
  <w15:docId w15:val="{64BA2391-6CA9-466F-91CA-111C0F8D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1252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F33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F335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3250</Words>
  <Characters>18530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Tikone</cp:lastModifiedBy>
  <cp:revision>2</cp:revision>
  <dcterms:created xsi:type="dcterms:W3CDTF">2013-12-23T23:15:00Z</dcterms:created>
  <dcterms:modified xsi:type="dcterms:W3CDTF">2026-05-28T21:35:00Z</dcterms:modified>
  <cp:category/>
</cp:coreProperties>
</file>