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f5b8e4cac9484e" /></Relationships>
</file>

<file path=word/document.xml><?xml version="1.0" encoding="utf-8"?>
<w:document xmlns:w="http://schemas.openxmlformats.org/wordprocessingml/2006/main">
  <w:body>
    <w:p>
      <w:r>
        <w:t>Treatment revenue report</w:t>
      </w:r>
    </w:p>
    <w:p>
      <w:r>
        <w:drawing>
          <wp:inline xmlns:wp="http://schemas.openxmlformats.org/drawingml/2006/wordprocessingDrawing">
            <wp:extent cx="5486400" cy="3200400"/>
            <wp:docPr id="1" name="RevenueChart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749e59d33d96478a"/>
              </a:graphicData>
            </a:graphic>
          </wp:inline>
        </w:drawing>
      </w:r>
    </w:p>
    <w:p>
      <w:r>
        <w:t>Figures exclude VAT.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749e59d33d96478a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Revenue by treatment</a:t>
            </a:r>
          </a:p>
        </c:rich>
      </c:tx>
      <c:overlay val="0"/>
    </c:title>
    <c:autoTitleDeleted val="0"/>
    <c:plotArea>
      <c:layout/>
      <c:pi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Gel manicure</c:v>
                </c:pt>
                <c:pt idx="1">
                  <c:v>Pedicure</c:v>
                </c:pt>
                <c:pt idx="2">
                  <c:v>Full set acrylics</c:v>
                </c:pt>
                <c:pt idx="3">
                  <c:v>Nail art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35</c:v>
                </c:pt>
                <c:pt idx="2">
                  <c:v>60</c:v>
                </c:pt>
                <c:pt idx="3">
                  <c:v>15</c:v>
                </c:pt>
              </c:numCache>
            </c:numRef>
          </c:val>
        </c:ser>
      </c:pieChart>
    </c:plotArea>
    <c:plotVisOnly val="1"/>
  </c:chart>
</c:chartSpace>
</file>