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B8AFD" w14:textId="77777777" w:rsidR="0073298B" w:rsidRDefault="00000000">
      <w:pPr>
        <w:pBdr>
          <w:bottom w:val="single" w:sz="18" w:space="4" w:color="1F3B57"/>
        </w:pBdr>
        <w:spacing w:after="40"/>
      </w:pPr>
      <w:r>
        <w:rPr>
          <w:b/>
          <w:bCs/>
          <w:color w:val="1F3B57"/>
          <w:sz w:val="46"/>
          <w:szCs w:val="46"/>
        </w:rPr>
        <w:t>Risk Acceptance &amp; Sign-Off</w:t>
      </w:r>
    </w:p>
    <w:p w14:paraId="6BCFCC0C" w14:textId="77777777" w:rsidR="0073298B" w:rsidRDefault="00000000">
      <w:pPr>
        <w:spacing w:after="60"/>
      </w:pPr>
      <w:r>
        <w:rPr>
          <w:color w:val="2E6E8E"/>
          <w:sz w:val="26"/>
          <w:szCs w:val="26"/>
        </w:rPr>
        <w:t>Point History Consolidation — Point &amp; Liability Movement on CID Merge</w:t>
      </w:r>
    </w:p>
    <w:p w14:paraId="1DD3D4C8" w14:textId="77777777" w:rsidR="0073298B" w:rsidRDefault="0073298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3298B" w14:paraId="6F44FAC5"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E7EDF3"/>
            <w:tcMar>
              <w:top w:w="70" w:type="dxa"/>
              <w:left w:w="120" w:type="dxa"/>
              <w:bottom w:w="70" w:type="dxa"/>
              <w:right w:w="120" w:type="dxa"/>
            </w:tcMar>
            <w:vAlign w:val="center"/>
          </w:tcPr>
          <w:p w14:paraId="6296D033" w14:textId="77777777" w:rsidR="0073298B" w:rsidRDefault="00000000">
            <w:pPr>
              <w:spacing w:line="252" w:lineRule="auto"/>
            </w:pPr>
            <w:r>
              <w:rPr>
                <w:b/>
                <w:bCs/>
                <w:color w:val="1F3B57"/>
                <w:sz w:val="19"/>
                <w:szCs w:val="19"/>
              </w:rPr>
              <w:t>Prepared for</w:t>
            </w:r>
          </w:p>
        </w:tc>
        <w:tc>
          <w:tcPr>
            <w:tcW w:w="69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EBE22AC" w14:textId="77777777" w:rsidR="0073298B" w:rsidRDefault="00000000">
            <w:pPr>
              <w:spacing w:line="252" w:lineRule="auto"/>
            </w:pPr>
            <w:r>
              <w:rPr>
                <w:color w:val="33414D"/>
                <w:sz w:val="19"/>
                <w:szCs w:val="19"/>
              </w:rPr>
              <w:t>Scene+ / BNS</w:t>
            </w:r>
          </w:p>
        </w:tc>
      </w:tr>
      <w:tr w:rsidR="0073298B" w14:paraId="3049D870"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E7EDF3"/>
            <w:tcMar>
              <w:top w:w="70" w:type="dxa"/>
              <w:left w:w="120" w:type="dxa"/>
              <w:bottom w:w="70" w:type="dxa"/>
              <w:right w:w="120" w:type="dxa"/>
            </w:tcMar>
            <w:vAlign w:val="center"/>
          </w:tcPr>
          <w:p w14:paraId="4455530C" w14:textId="77777777" w:rsidR="0073298B" w:rsidRDefault="00000000">
            <w:pPr>
              <w:spacing w:line="252" w:lineRule="auto"/>
            </w:pPr>
            <w:r>
              <w:rPr>
                <w:b/>
                <w:bCs/>
                <w:color w:val="1F3B57"/>
                <w:sz w:val="19"/>
                <w:szCs w:val="19"/>
              </w:rPr>
              <w:t>Prepared by</w:t>
            </w:r>
          </w:p>
        </w:tc>
        <w:tc>
          <w:tcPr>
            <w:tcW w:w="69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85FDA63" w14:textId="77777777" w:rsidR="0073298B" w:rsidRDefault="00000000">
            <w:pPr>
              <w:spacing w:line="252" w:lineRule="auto"/>
            </w:pPr>
            <w:r>
              <w:rPr>
                <w:color w:val="33414D"/>
                <w:sz w:val="19"/>
                <w:szCs w:val="19"/>
              </w:rPr>
              <w:t>Nik</w:t>
            </w:r>
          </w:p>
        </w:tc>
      </w:tr>
      <w:tr w:rsidR="0073298B" w14:paraId="288E6B48"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E7EDF3"/>
            <w:tcMar>
              <w:top w:w="70" w:type="dxa"/>
              <w:left w:w="120" w:type="dxa"/>
              <w:bottom w:w="70" w:type="dxa"/>
              <w:right w:w="120" w:type="dxa"/>
            </w:tcMar>
            <w:vAlign w:val="center"/>
          </w:tcPr>
          <w:p w14:paraId="1C011DAD" w14:textId="77777777" w:rsidR="0073298B" w:rsidRDefault="00000000">
            <w:pPr>
              <w:spacing w:line="252" w:lineRule="auto"/>
            </w:pPr>
            <w:r>
              <w:rPr>
                <w:b/>
                <w:bCs/>
                <w:color w:val="1F3B57"/>
                <w:sz w:val="19"/>
                <w:szCs w:val="19"/>
              </w:rPr>
              <w:t>Classification</w:t>
            </w:r>
          </w:p>
        </w:tc>
        <w:tc>
          <w:tcPr>
            <w:tcW w:w="69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1DC3948" w14:textId="77777777" w:rsidR="0073298B" w:rsidRDefault="00000000">
            <w:pPr>
              <w:spacing w:line="252" w:lineRule="auto"/>
            </w:pPr>
            <w:r>
              <w:rPr>
                <w:color w:val="33414D"/>
                <w:sz w:val="19"/>
                <w:szCs w:val="19"/>
              </w:rPr>
              <w:t>Confidential — Scene+ / Bond</w:t>
            </w:r>
          </w:p>
        </w:tc>
      </w:tr>
    </w:tbl>
    <w:p w14:paraId="7AB660D3" w14:textId="77777777" w:rsidR="0073298B" w:rsidRDefault="00000000">
      <w:pPr>
        <w:pStyle w:val="Heading1"/>
      </w:pPr>
      <w:r>
        <w:t>What’s inside</w:t>
      </w:r>
    </w:p>
    <w:p w14:paraId="41AD7D48" w14:textId="77777777" w:rsidR="0073298B" w:rsidRDefault="00000000">
      <w:pPr>
        <w:spacing w:after="100" w:line="278" w:lineRule="auto"/>
      </w:pPr>
      <w:r>
        <w:t>Here’s the quick map of this document, so you can jump to whatever you need:</w:t>
      </w:r>
    </w:p>
    <w:p w14:paraId="37AC0C19" w14:textId="77777777" w:rsidR="0073298B" w:rsidRDefault="00000000">
      <w:pPr>
        <w:pStyle w:val="ListParagraph"/>
        <w:numPr>
          <w:ilvl w:val="0"/>
          <w:numId w:val="2"/>
        </w:numPr>
        <w:spacing w:after="60" w:line="278" w:lineRule="auto"/>
      </w:pPr>
      <w:r>
        <w:t>What we’re solving</w:t>
      </w:r>
    </w:p>
    <w:p w14:paraId="5E58E5DC" w14:textId="77777777" w:rsidR="0073298B" w:rsidRDefault="00000000">
      <w:pPr>
        <w:pStyle w:val="ListParagraph"/>
        <w:numPr>
          <w:ilvl w:val="0"/>
          <w:numId w:val="2"/>
        </w:numPr>
        <w:spacing w:after="60" w:line="278" w:lineRule="auto"/>
      </w:pPr>
      <w:r>
        <w:t>What’s already proven and working</w:t>
      </w:r>
    </w:p>
    <w:p w14:paraId="13770D67" w14:textId="47F83253" w:rsidR="0073298B" w:rsidRDefault="00000000">
      <w:pPr>
        <w:pStyle w:val="ListParagraph"/>
        <w:numPr>
          <w:ilvl w:val="0"/>
          <w:numId w:val="2"/>
        </w:numPr>
        <w:spacing w:after="60" w:line="278" w:lineRule="auto"/>
      </w:pPr>
      <w:r>
        <w:t xml:space="preserve">The display </w:t>
      </w:r>
      <w:r w:rsidR="00BF3D89">
        <w:t>behavior</w:t>
      </w:r>
      <w:r>
        <w:t xml:space="preserve"> in question</w:t>
      </w:r>
    </w:p>
    <w:p w14:paraId="5949F225" w14:textId="77777777" w:rsidR="0073298B" w:rsidRDefault="00000000">
      <w:pPr>
        <w:pStyle w:val="ListParagraph"/>
        <w:numPr>
          <w:ilvl w:val="0"/>
          <w:numId w:val="2"/>
        </w:numPr>
        <w:spacing w:after="60" w:line="278" w:lineRule="auto"/>
      </w:pPr>
      <w:r>
        <w:t>The options we looked at</w:t>
      </w:r>
    </w:p>
    <w:p w14:paraId="04DB6B75" w14:textId="77777777" w:rsidR="0073298B" w:rsidRDefault="00000000">
      <w:pPr>
        <w:pStyle w:val="ListParagraph"/>
        <w:numPr>
          <w:ilvl w:val="0"/>
          <w:numId w:val="2"/>
        </w:numPr>
        <w:spacing w:after="60" w:line="278" w:lineRule="auto"/>
      </w:pPr>
      <w:r>
        <w:t>Risks</w:t>
      </w:r>
    </w:p>
    <w:p w14:paraId="70B61E33" w14:textId="77777777" w:rsidR="0073298B" w:rsidRDefault="00000000">
      <w:pPr>
        <w:pStyle w:val="ListParagraph"/>
        <w:numPr>
          <w:ilvl w:val="0"/>
          <w:numId w:val="2"/>
        </w:numPr>
        <w:spacing w:after="60" w:line="278" w:lineRule="auto"/>
      </w:pPr>
      <w:r>
        <w:t>Risk Metrics</w:t>
      </w:r>
    </w:p>
    <w:p w14:paraId="15B17B4C" w14:textId="77777777" w:rsidR="0073298B" w:rsidRDefault="00000000">
      <w:pPr>
        <w:pStyle w:val="ListParagraph"/>
        <w:numPr>
          <w:ilvl w:val="0"/>
          <w:numId w:val="2"/>
        </w:numPr>
        <w:spacing w:after="60" w:line="278" w:lineRule="auto"/>
      </w:pPr>
      <w:r>
        <w:t>Recommendation &amp; sign-off</w:t>
      </w:r>
    </w:p>
    <w:p w14:paraId="54D3D452" w14:textId="77777777" w:rsidR="0073298B" w:rsidRDefault="00000000">
      <w:pPr>
        <w:pStyle w:val="Heading1"/>
      </w:pPr>
      <w:r>
        <w:t>1. What we’re solving</w:t>
      </w:r>
    </w:p>
    <w:p w14:paraId="5D853317" w14:textId="77777777" w:rsidR="0073298B" w:rsidRDefault="00000000">
      <w:pPr>
        <w:spacing w:after="140" w:line="278" w:lineRule="auto"/>
      </w:pPr>
      <w:r>
        <w:t>When two accounts are brought together in a CID merge, two things have to move across cleanly: the member’s liability and their points. Both of those moves are already built and working. What this document is really about is one small, cosmetic side-effect of how a moved entry can show up in the Scene app afterwards — and whether it’s worth the cost and risk of “fixing” it.</w:t>
      </w:r>
    </w:p>
    <w:p w14:paraId="5A05E95F" w14:textId="1DB7EFFC" w:rsidR="0073298B" w:rsidRDefault="00000000">
      <w:pPr>
        <w:spacing w:after="140" w:line="278" w:lineRule="auto"/>
      </w:pPr>
      <w:r>
        <w:t xml:space="preserve">The short version: the </w:t>
      </w:r>
      <w:r w:rsidR="00BF3D89">
        <w:t>liability reporting</w:t>
      </w:r>
      <w:r>
        <w:t xml:space="preserve"> and the points land exactly where they should. The only open question is how one transfer can appear as a few smaller lines in the member’s point history.</w:t>
      </w:r>
    </w:p>
    <w:p w14:paraId="2FD6D08F" w14:textId="77777777" w:rsidR="0073298B" w:rsidRDefault="00000000">
      <w:pPr>
        <w:pStyle w:val="Heading1"/>
      </w:pPr>
      <w:r>
        <w:t>2. What’s already proven and working</w:t>
      </w:r>
    </w:p>
    <w:p w14:paraId="5F0BB8C4" w14:textId="4174A3C6" w:rsidR="0073298B" w:rsidRDefault="00000000">
      <w:pPr>
        <w:spacing w:after="120" w:line="278" w:lineRule="auto"/>
      </w:pPr>
      <w:r>
        <w:t xml:space="preserve">Two pieces are done, tested, and </w:t>
      </w:r>
      <w:r w:rsidR="00BF3D89">
        <w:t>behave</w:t>
      </w:r>
      <w:r>
        <w:t xml:space="preserve"> the way the business asked. These aren’t in question here — they’re the foundation everything else sits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760"/>
        <w:gridCol w:w="1700"/>
      </w:tblGrid>
      <w:tr w:rsidR="0073298B" w14:paraId="12F575DA" w14:textId="77777777">
        <w:tblPrEx>
          <w:tblCellMar>
            <w:top w:w="0" w:type="dxa"/>
            <w:bottom w:w="0" w:type="dxa"/>
          </w:tblCellMar>
        </w:tblPrEx>
        <w:trPr>
          <w:tblHeader/>
        </w:trPr>
        <w:tc>
          <w:tcPr>
            <w:tcW w:w="190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5FBC2798" w14:textId="77777777" w:rsidR="0073298B" w:rsidRDefault="00000000">
            <w:pPr>
              <w:spacing w:line="252" w:lineRule="auto"/>
            </w:pPr>
            <w:r>
              <w:rPr>
                <w:b/>
                <w:bCs/>
                <w:color w:val="FFFFFF"/>
                <w:sz w:val="19"/>
                <w:szCs w:val="19"/>
              </w:rPr>
              <w:t>Area</w:t>
            </w:r>
          </w:p>
        </w:tc>
        <w:tc>
          <w:tcPr>
            <w:tcW w:w="576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5047DDBD" w14:textId="77777777" w:rsidR="0073298B" w:rsidRDefault="00000000">
            <w:pPr>
              <w:spacing w:line="252" w:lineRule="auto"/>
            </w:pPr>
            <w:r>
              <w:rPr>
                <w:b/>
                <w:bCs/>
                <w:color w:val="FFFFFF"/>
                <w:sz w:val="19"/>
                <w:szCs w:val="19"/>
              </w:rPr>
              <w:t>What happens</w:t>
            </w:r>
          </w:p>
        </w:tc>
        <w:tc>
          <w:tcPr>
            <w:tcW w:w="170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70128E99" w14:textId="77777777" w:rsidR="0073298B" w:rsidRDefault="00000000">
            <w:pPr>
              <w:spacing w:line="252" w:lineRule="auto"/>
            </w:pPr>
            <w:r>
              <w:rPr>
                <w:b/>
                <w:bCs/>
                <w:color w:val="FFFFFF"/>
                <w:sz w:val="19"/>
                <w:szCs w:val="19"/>
              </w:rPr>
              <w:t>Status</w:t>
            </w:r>
          </w:p>
        </w:tc>
      </w:tr>
      <w:tr w:rsidR="0073298B" w14:paraId="4ADA9A5D" w14:textId="77777777">
        <w:tblPrEx>
          <w:tblCellMar>
            <w:top w:w="0" w:type="dxa"/>
            <w:bottom w:w="0" w:type="dxa"/>
          </w:tblCellMar>
        </w:tblPrEx>
        <w:tc>
          <w:tcPr>
            <w:tcW w:w="19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DB6DFD2" w14:textId="77777777" w:rsidR="0073298B" w:rsidRDefault="00000000">
            <w:pPr>
              <w:spacing w:line="252" w:lineRule="auto"/>
            </w:pPr>
            <w:r>
              <w:rPr>
                <w:b/>
                <w:bCs/>
                <w:color w:val="1F3B57"/>
                <w:sz w:val="19"/>
                <w:szCs w:val="19"/>
              </w:rPr>
              <w:t>Liability movement</w:t>
            </w:r>
          </w:p>
        </w:tc>
        <w:tc>
          <w:tcPr>
            <w:tcW w:w="57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BB55AE6" w14:textId="77777777" w:rsidR="0073298B" w:rsidRDefault="00000000">
            <w:pPr>
              <w:spacing w:line="252" w:lineRule="auto"/>
            </w:pPr>
            <w:r>
              <w:rPr>
                <w:color w:val="33414D"/>
                <w:sz w:val="19"/>
                <w:szCs w:val="19"/>
              </w:rPr>
              <w:t>After the accounts and points are merged, the liability moves into the same bucket it was originally created in. It’s a layered, fairly involved path, but it’s been tested end-to-end and lands where the business requirements say it should.</w:t>
            </w:r>
          </w:p>
        </w:tc>
        <w:tc>
          <w:tcPr>
            <w:tcW w:w="17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76CFAB4" w14:textId="77777777" w:rsidR="0073298B" w:rsidRDefault="00000000">
            <w:pPr>
              <w:spacing w:line="252" w:lineRule="auto"/>
            </w:pPr>
            <w:r>
              <w:rPr>
                <w:b/>
                <w:bCs/>
                <w:color w:val="2E7D5B"/>
                <w:sz w:val="19"/>
                <w:szCs w:val="19"/>
              </w:rPr>
              <w:t>Tested &amp; working</w:t>
            </w:r>
          </w:p>
        </w:tc>
      </w:tr>
      <w:tr w:rsidR="0073298B" w14:paraId="4115F470" w14:textId="77777777">
        <w:tblPrEx>
          <w:tblCellMar>
            <w:top w:w="0" w:type="dxa"/>
            <w:bottom w:w="0" w:type="dxa"/>
          </w:tblCellMar>
        </w:tblPrEx>
        <w:tc>
          <w:tcPr>
            <w:tcW w:w="19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F60CCDC" w14:textId="77777777" w:rsidR="0073298B" w:rsidRDefault="00000000">
            <w:pPr>
              <w:spacing w:line="252" w:lineRule="auto"/>
            </w:pPr>
            <w:r>
              <w:rPr>
                <w:b/>
                <w:bCs/>
                <w:color w:val="1F3B57"/>
                <w:sz w:val="19"/>
                <w:szCs w:val="19"/>
              </w:rPr>
              <w:lastRenderedPageBreak/>
              <w:t>Point movement</w:t>
            </w:r>
          </w:p>
        </w:tc>
        <w:tc>
          <w:tcPr>
            <w:tcW w:w="57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F9FDD0C" w14:textId="77777777" w:rsidR="0073298B" w:rsidRDefault="00000000">
            <w:pPr>
              <w:spacing w:line="252" w:lineRule="auto"/>
            </w:pPr>
            <w:r>
              <w:rPr>
                <w:color w:val="33414D"/>
                <w:sz w:val="19"/>
                <w:szCs w:val="19"/>
              </w:rPr>
              <w:t>Points move back into the same Scene bucket they were originally issued from. This has been properly tested too.</w:t>
            </w:r>
          </w:p>
        </w:tc>
        <w:tc>
          <w:tcPr>
            <w:tcW w:w="17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2F0205A" w14:textId="77777777" w:rsidR="0073298B" w:rsidRDefault="00000000">
            <w:pPr>
              <w:spacing w:line="252" w:lineRule="auto"/>
            </w:pPr>
            <w:r>
              <w:rPr>
                <w:b/>
                <w:bCs/>
                <w:color w:val="2E7D5B"/>
                <w:sz w:val="19"/>
                <w:szCs w:val="19"/>
              </w:rPr>
              <w:t>Tested &amp; working</w:t>
            </w:r>
          </w:p>
        </w:tc>
      </w:tr>
    </w:tbl>
    <w:p w14:paraId="024F3B11" w14:textId="77777777" w:rsidR="0073298B" w:rsidRDefault="00000000">
      <w:pPr>
        <w:spacing w:after="100" w:line="278" w:lineRule="auto"/>
      </w:pPr>
      <w:r>
        <w:t>So both the financial side and the points side are solid. Nothing further down changes that.</w:t>
      </w:r>
    </w:p>
    <w:p w14:paraId="3499AE81" w14:textId="77777777" w:rsidR="0073298B" w:rsidRDefault="00000000">
      <w:pPr>
        <w:pStyle w:val="Heading1"/>
      </w:pPr>
      <w:r>
        <w:t xml:space="preserve">3. The display </w:t>
      </w:r>
      <w:proofErr w:type="spellStart"/>
      <w:r>
        <w:t>behaviour</w:t>
      </w:r>
      <w:proofErr w:type="spellEnd"/>
      <w:r>
        <w:t xml:space="preserve"> in question</w:t>
      </w:r>
    </w:p>
    <w:p w14:paraId="06C84E9B" w14:textId="77777777" w:rsidR="0073298B" w:rsidRDefault="00000000">
      <w:pPr>
        <w:spacing w:after="140" w:line="278" w:lineRule="auto"/>
      </w:pPr>
      <w:r>
        <w:t>Here’s the one quirk. When points move from one account to another during a merge, a single entry — say 500 points — can in some cases be split into a few smaller entries on the way across, for example five separate 100-point entries.</w:t>
      </w:r>
    </w:p>
    <w:p w14:paraId="4D7C3C37" w14:textId="77777777" w:rsidR="0073298B" w:rsidRDefault="00000000">
      <w:pPr>
        <w:spacing w:after="140" w:line="278" w:lineRule="auto"/>
      </w:pPr>
      <w:r>
        <w:t>When that happens, a member looking at their history in the Scene mobile app sees those five 100-point lines rather than one 500-point line. Each line carries the correct description, so nothing is wrong or misleading — it’s just shown as a few rows instead of one.</w:t>
      </w:r>
    </w:p>
    <w:p w14:paraId="321EF4C1" w14:textId="77777777" w:rsidR="0073298B" w:rsidRDefault="00000000">
      <w:pPr>
        <w:spacing w:after="80" w:line="278" w:lineRule="auto"/>
      </w:pPr>
      <w:r>
        <w:t>A few things worth keeping in mind:</w:t>
      </w:r>
    </w:p>
    <w:p w14:paraId="68A063BB" w14:textId="657F77AB" w:rsidR="0073298B" w:rsidRDefault="00000000">
      <w:pPr>
        <w:pStyle w:val="ListParagraph"/>
        <w:numPr>
          <w:ilvl w:val="0"/>
          <w:numId w:val="3"/>
        </w:numPr>
        <w:spacing w:after="80" w:line="278" w:lineRule="auto"/>
      </w:pPr>
      <w:r>
        <w:rPr>
          <w:b/>
          <w:bCs/>
        </w:rPr>
        <w:t xml:space="preserve">It’s rare. </w:t>
      </w:r>
      <w:r>
        <w:t xml:space="preserve">Only a small number of members ever hit </w:t>
      </w:r>
      <w:r w:rsidR="00BF3D89">
        <w:t>conditions</w:t>
      </w:r>
      <w:r>
        <w:t xml:space="preserve"> that cause a split in the first place.</w:t>
      </w:r>
    </w:p>
    <w:p w14:paraId="6C1EF20B" w14:textId="77777777" w:rsidR="0073298B" w:rsidRDefault="00000000">
      <w:pPr>
        <w:pStyle w:val="ListParagraph"/>
        <w:numPr>
          <w:ilvl w:val="0"/>
          <w:numId w:val="3"/>
        </w:numPr>
        <w:spacing w:after="80" w:line="278" w:lineRule="auto"/>
      </w:pPr>
      <w:r>
        <w:rPr>
          <w:b/>
          <w:bCs/>
        </w:rPr>
        <w:t xml:space="preserve">It’s rarely seen even by them. </w:t>
      </w:r>
      <w:r>
        <w:t>Of those few members, the chance that any one of them opens this exact view and notices the split is very, very low.</w:t>
      </w:r>
    </w:p>
    <w:p w14:paraId="7A388C86" w14:textId="77777777" w:rsidR="0073298B" w:rsidRDefault="00000000">
      <w:pPr>
        <w:pStyle w:val="ListParagraph"/>
        <w:numPr>
          <w:ilvl w:val="0"/>
          <w:numId w:val="3"/>
        </w:numPr>
        <w:spacing w:after="80" w:line="278" w:lineRule="auto"/>
      </w:pPr>
      <w:r>
        <w:rPr>
          <w:b/>
          <w:bCs/>
        </w:rPr>
        <w:t xml:space="preserve">It reads correctly. </w:t>
      </w:r>
      <w:r>
        <w:t>The descriptions are accurate, so even if someone does see it, they shouldn’t come away confused.</w:t>
      </w:r>
    </w:p>
    <w:p w14:paraId="6673ECAF" w14:textId="77777777" w:rsidR="0073298B" w:rsidRDefault="00000000">
      <w:pPr>
        <w:pStyle w:val="Heading1"/>
      </w:pPr>
      <w:r>
        <w:t>4. The options we looked at</w:t>
      </w:r>
    </w:p>
    <w:p w14:paraId="084BE718" w14:textId="77777777" w:rsidR="0073298B" w:rsidRDefault="00000000">
      <w:pPr>
        <w:spacing w:after="140" w:line="278" w:lineRule="auto"/>
      </w:pPr>
      <w:r>
        <w:t>We explored two ways to collapse those split lines back into one. Both are technically possible — neither is free.</w:t>
      </w:r>
    </w:p>
    <w:p w14:paraId="62ED3E50" w14:textId="77777777" w:rsidR="0073298B" w:rsidRDefault="00000000">
      <w:pPr>
        <w:pStyle w:val="Heading2"/>
      </w:pPr>
      <w:r>
        <w:t>4.1  Combine the entries in the point bank</w:t>
      </w:r>
    </w:p>
    <w:p w14:paraId="427C5E8D" w14:textId="77777777" w:rsidR="0073298B" w:rsidRDefault="00000000">
      <w:pPr>
        <w:spacing w:after="140" w:line="278" w:lineRule="auto"/>
      </w:pPr>
      <w:r>
        <w:t>This would merge the split entries into a single entry at the source, in the point bank itself. The catch is that the point bank is also where our proven liability logic and the financial SSRS reporting hang off. Touching it means refactoring that area and reaching into the exact pattern that’s currently tested and stable — so the regression footprint is large, and the chance of knocking something loose in financial or liability reporting is real. For a cosmetic display issue, that’s a lot of blast radius.</w:t>
      </w:r>
    </w:p>
    <w:p w14:paraId="384418BF" w14:textId="77777777" w:rsidR="0073298B" w:rsidRDefault="00000000">
      <w:pPr>
        <w:pStyle w:val="Heading2"/>
      </w:pPr>
      <w:r>
        <w:t>4.2  Group the entries in the middleware</w:t>
      </w:r>
    </w:p>
    <w:p w14:paraId="277622D7" w14:textId="77777777" w:rsidR="0073298B" w:rsidRDefault="00000000">
      <w:pPr>
        <w:spacing w:after="80" w:line="278" w:lineRule="auto"/>
      </w:pPr>
      <w:r>
        <w:t>This would leave the point bank alone and instead group the split lines together in the middleware, so the UI shows a single consolidated row. It sounds lighter, but the point-history endpoint is one of our two most-called endpoints in the whole ecosystem, and it’s paginated because the list can get long. Grouping at request time runs into three problems:</w:t>
      </w:r>
    </w:p>
    <w:p w14:paraId="7A236892" w14:textId="77777777" w:rsidR="0073298B" w:rsidRDefault="00000000">
      <w:pPr>
        <w:pStyle w:val="ListParagraph"/>
        <w:numPr>
          <w:ilvl w:val="0"/>
          <w:numId w:val="3"/>
        </w:numPr>
        <w:spacing w:after="80" w:line="278" w:lineRule="auto"/>
      </w:pPr>
      <w:r>
        <w:rPr>
          <w:b/>
          <w:bCs/>
        </w:rPr>
        <w:t xml:space="preserve">Pagination. </w:t>
      </w:r>
      <w:r>
        <w:t>Collapsing rows after the fact has a high chance of breaking how the paged list is counted and returned.</w:t>
      </w:r>
    </w:p>
    <w:p w14:paraId="3B6F9A68" w14:textId="77777777" w:rsidR="0073298B" w:rsidRDefault="00000000">
      <w:pPr>
        <w:pStyle w:val="ListParagraph"/>
        <w:numPr>
          <w:ilvl w:val="0"/>
          <w:numId w:val="3"/>
        </w:numPr>
        <w:spacing w:after="80" w:line="278" w:lineRule="auto"/>
      </w:pPr>
      <w:r>
        <w:rPr>
          <w:b/>
          <w:bCs/>
        </w:rPr>
        <w:lastRenderedPageBreak/>
        <w:t xml:space="preserve">Filters &amp; grouping. </w:t>
      </w:r>
      <w:r>
        <w:t>Shell and Tangerine each have their own dedicated filtering and grouping on this list in CSM — re-grouping underneath them is likely to break that.</w:t>
      </w:r>
    </w:p>
    <w:p w14:paraId="43835AE0" w14:textId="77777777" w:rsidR="0073298B" w:rsidRDefault="00000000">
      <w:pPr>
        <w:pStyle w:val="ListParagraph"/>
        <w:numPr>
          <w:ilvl w:val="0"/>
          <w:numId w:val="3"/>
        </w:numPr>
        <w:spacing w:after="80" w:line="278" w:lineRule="auto"/>
      </w:pPr>
      <w:r>
        <w:rPr>
          <w:b/>
          <w:bCs/>
        </w:rPr>
        <w:t xml:space="preserve">Cost. </w:t>
      </w:r>
      <w:r>
        <w:t>Doing this at runtime needs roughly double the queries into the point bank per call. On a top-two endpoint, that’s not a rounding error — it’s a noticeable, ongoing cost increase.</w:t>
      </w:r>
    </w:p>
    <w:p w14:paraId="21422E13" w14:textId="77777777" w:rsidR="0073298B" w:rsidRDefault="00000000">
      <w:pPr>
        <w:pStyle w:val="Heading1"/>
      </w:pPr>
      <w:r>
        <w:t>5. Risks</w:t>
      </w:r>
    </w:p>
    <w:p w14:paraId="02EE5B8F" w14:textId="77777777" w:rsidR="0073298B" w:rsidRDefault="00000000">
      <w:pPr>
        <w:spacing w:after="140" w:line="278" w:lineRule="auto"/>
      </w:pPr>
      <w:r>
        <w:t>Pulling it together — here’s how the risk sits, both the small risk of leaving things as they are and the bigger risks we’d take on if we decide to consolidate.</w:t>
      </w:r>
    </w:p>
    <w:p w14:paraId="0D3B2976" w14:textId="77777777" w:rsidR="0073298B" w:rsidRDefault="00000000">
      <w:pPr>
        <w:pStyle w:val="Heading2"/>
      </w:pPr>
      <w:r>
        <w:t>5.1  The display itself (what we’d be accepting)</w:t>
      </w:r>
    </w:p>
    <w:p w14:paraId="31B2434D" w14:textId="5F42AFBC" w:rsidR="0073298B" w:rsidRDefault="00000000">
      <w:pPr>
        <w:spacing w:after="140" w:line="278" w:lineRule="auto"/>
      </w:pPr>
      <w:r>
        <w:t xml:space="preserve">If we leave it as-is, the only thing we’re accepting is the cosmetic split-row </w:t>
      </w:r>
      <w:proofErr w:type="spellStart"/>
      <w:r>
        <w:t>behaviour</w:t>
      </w:r>
      <w:proofErr w:type="spellEnd"/>
      <w:r>
        <w:t xml:space="preserve"> described in Section 3. It’s rare, rarely seen, and correctly labelled — so the real-world impact on a member is small.</w:t>
      </w:r>
      <w:r w:rsidR="00BF3D89">
        <w:t xml:space="preserve"> But it is the true representation of the data and description and details will hopefully will not make customer and scene user confuse.</w:t>
      </w:r>
    </w:p>
    <w:p w14:paraId="1ECCAA9F" w14:textId="77777777" w:rsidR="0073298B" w:rsidRDefault="00000000">
      <w:pPr>
        <w:pStyle w:val="Heading2"/>
      </w:pPr>
      <w:r>
        <w:t>5.2  Performance on our busiest endpoint</w:t>
      </w:r>
    </w:p>
    <w:p w14:paraId="2CBA4F32" w14:textId="77777777" w:rsidR="0073298B" w:rsidRDefault="00000000">
      <w:pPr>
        <w:spacing w:after="140" w:line="278" w:lineRule="auto"/>
      </w:pPr>
      <w:r>
        <w:t xml:space="preserve">Point history is one of our top-two most-called endpoints. Any consolidation logic that runs on every call adds load to the one place we can least afford it, and response times would take a hit that’s felt across the board — </w:t>
      </w:r>
      <w:r w:rsidRPr="00BF3D89">
        <w:rPr>
          <w:b/>
          <w:bCs/>
        </w:rPr>
        <w:t>by Shell, Tangerine, BNS and Scene alike.</w:t>
      </w:r>
    </w:p>
    <w:p w14:paraId="027D008E" w14:textId="77777777" w:rsidR="0073298B" w:rsidRDefault="00000000">
      <w:pPr>
        <w:pStyle w:val="Heading2"/>
      </w:pPr>
      <w:r>
        <w:t>5.3  Cost and query load</w:t>
      </w:r>
    </w:p>
    <w:p w14:paraId="108AF914" w14:textId="77777777" w:rsidR="0073298B" w:rsidRDefault="00000000">
      <w:pPr>
        <w:spacing w:after="140" w:line="278" w:lineRule="auto"/>
      </w:pPr>
      <w:r>
        <w:t>The middleware approach roughly doubles the queries into the point bank for each call. Because this endpoint is called so heavily, that turns into a major, ongoing cost — not a one-time spend.</w:t>
      </w:r>
    </w:p>
    <w:p w14:paraId="3E8239EA" w14:textId="77777777" w:rsidR="0073298B" w:rsidRDefault="00000000">
      <w:pPr>
        <w:pStyle w:val="Heading2"/>
      </w:pPr>
      <w:r>
        <w:t>5.4  Pagination, filters and grouping</w:t>
      </w:r>
    </w:p>
    <w:p w14:paraId="24F49D57" w14:textId="77777777" w:rsidR="0073298B" w:rsidRDefault="00000000">
      <w:pPr>
        <w:spacing w:after="140" w:line="278" w:lineRule="auto"/>
      </w:pPr>
      <w:r>
        <w:t>Re-grouping a paged list at runtime is fragile. There’s a high chance of breaking pagination, and a high chance of breaking the dedicated filtering and grouping that Shell and Tangerine rely on in CSM.</w:t>
      </w:r>
    </w:p>
    <w:p w14:paraId="5744CDCC" w14:textId="77777777" w:rsidR="0073298B" w:rsidRDefault="00000000">
      <w:pPr>
        <w:pStyle w:val="Heading2"/>
      </w:pPr>
      <w:r>
        <w:t>5.5  Liability &amp; financial reporting</w:t>
      </w:r>
    </w:p>
    <w:p w14:paraId="0597F7FC" w14:textId="77777777" w:rsidR="0073298B" w:rsidRDefault="00000000">
      <w:pPr>
        <w:spacing w:after="140" w:line="278" w:lineRule="auto"/>
      </w:pPr>
      <w:r>
        <w:t xml:space="preserve">The point-bank option reaches into the proven liability path and the financial SSRS reporting. Changing it carries a low-but-real chance of liability landing in the wrong reporting bucket, even with checks in place — and that’s exactly the area we don’t want to </w:t>
      </w:r>
      <w:proofErr w:type="spellStart"/>
      <w:r>
        <w:t>destabilise</w:t>
      </w:r>
      <w:proofErr w:type="spellEnd"/>
      <w:r>
        <w:t xml:space="preserve"> for a display tweak.</w:t>
      </w:r>
    </w:p>
    <w:p w14:paraId="32112F1A" w14:textId="77777777" w:rsidR="0073298B" w:rsidRDefault="00000000">
      <w:pPr>
        <w:pStyle w:val="Heading2"/>
      </w:pPr>
      <w:r>
        <w:t>5.6  Blast radius across partners</w:t>
      </w:r>
    </w:p>
    <w:p w14:paraId="5848C6E5" w14:textId="77777777" w:rsidR="0073298B" w:rsidRDefault="00000000">
      <w:pPr>
        <w:spacing w:after="140" w:line="278" w:lineRule="auto"/>
      </w:pPr>
      <w:r>
        <w:t xml:space="preserve">This </w:t>
      </w:r>
      <w:proofErr w:type="spellStart"/>
      <w:r>
        <w:t>behaviour</w:t>
      </w:r>
      <w:proofErr w:type="spellEnd"/>
      <w:r>
        <w:t xml:space="preserve"> only shows up for a BNS feature, but the point-history endpoint is shared by Scene, Shell, Tangerine and BNS alike. So any change made for one ends up affecting all of them — the performance and cost impact wouldn’t stay contained to BNS.</w:t>
      </w:r>
    </w:p>
    <w:p w14:paraId="7B031FD8" w14:textId="77777777" w:rsidR="0073298B" w:rsidRDefault="00000000">
      <w:pPr>
        <w:pStyle w:val="Heading1"/>
      </w:pPr>
      <w:r>
        <w:t>6. Risk Metrics</w:t>
      </w:r>
    </w:p>
    <w:p w14:paraId="41E9ADCF" w14:textId="77777777" w:rsidR="0073298B" w:rsidRDefault="00000000">
      <w:pPr>
        <w:spacing w:after="120" w:line="278" w:lineRule="auto"/>
      </w:pPr>
      <w:r>
        <w:lastRenderedPageBreak/>
        <w:t>The same risks in one view, with a rough read on how likely each is and how much it would sting if it happened. The first row is the risk of doing nothing; the rest are the risks we’d take on by consolidating.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3710"/>
        <w:gridCol w:w="1200"/>
        <w:gridCol w:w="1100"/>
        <w:gridCol w:w="1500"/>
      </w:tblGrid>
      <w:tr w:rsidR="0073298B" w14:paraId="28E92DB7" w14:textId="77777777">
        <w:tblPrEx>
          <w:tblCellMar>
            <w:top w:w="0" w:type="dxa"/>
            <w:bottom w:w="0" w:type="dxa"/>
          </w:tblCellMar>
        </w:tblPrEx>
        <w:trPr>
          <w:tblHeader/>
        </w:trPr>
        <w:tc>
          <w:tcPr>
            <w:tcW w:w="185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3CBDC048" w14:textId="77777777" w:rsidR="0073298B" w:rsidRDefault="00000000">
            <w:pPr>
              <w:spacing w:line="252" w:lineRule="auto"/>
            </w:pPr>
            <w:r>
              <w:rPr>
                <w:b/>
                <w:bCs/>
                <w:color w:val="FFFFFF"/>
                <w:sz w:val="19"/>
                <w:szCs w:val="19"/>
              </w:rPr>
              <w:t>Risk area</w:t>
            </w:r>
          </w:p>
        </w:tc>
        <w:tc>
          <w:tcPr>
            <w:tcW w:w="371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56865B14" w14:textId="77777777" w:rsidR="0073298B" w:rsidRDefault="00000000">
            <w:pPr>
              <w:spacing w:line="252" w:lineRule="auto"/>
            </w:pPr>
            <w:r>
              <w:rPr>
                <w:b/>
                <w:bCs/>
                <w:color w:val="FFFFFF"/>
                <w:sz w:val="19"/>
                <w:szCs w:val="19"/>
              </w:rPr>
              <w:t>What could go wrong</w:t>
            </w:r>
          </w:p>
        </w:tc>
        <w:tc>
          <w:tcPr>
            <w:tcW w:w="120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7B60EEB2" w14:textId="77777777" w:rsidR="0073298B" w:rsidRDefault="00000000">
            <w:pPr>
              <w:spacing w:line="252" w:lineRule="auto"/>
            </w:pPr>
            <w:r>
              <w:rPr>
                <w:b/>
                <w:bCs/>
                <w:color w:val="FFFFFF"/>
                <w:sz w:val="19"/>
                <w:szCs w:val="19"/>
              </w:rPr>
              <w:t>How likely</w:t>
            </w:r>
          </w:p>
        </w:tc>
        <w:tc>
          <w:tcPr>
            <w:tcW w:w="110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50B21A19" w14:textId="77777777" w:rsidR="0073298B" w:rsidRDefault="00000000">
            <w:pPr>
              <w:spacing w:line="252" w:lineRule="auto"/>
            </w:pPr>
            <w:r>
              <w:rPr>
                <w:b/>
                <w:bCs/>
                <w:color w:val="FFFFFF"/>
                <w:sz w:val="19"/>
                <w:szCs w:val="19"/>
              </w:rPr>
              <w:t>Impact</w:t>
            </w:r>
          </w:p>
        </w:tc>
        <w:tc>
          <w:tcPr>
            <w:tcW w:w="150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5BA01F9A" w14:textId="77777777" w:rsidR="0073298B" w:rsidRDefault="00000000">
            <w:pPr>
              <w:spacing w:line="252" w:lineRule="auto"/>
            </w:pPr>
            <w:r>
              <w:rPr>
                <w:b/>
                <w:bCs/>
                <w:color w:val="FFFFFF"/>
                <w:sz w:val="19"/>
                <w:szCs w:val="19"/>
              </w:rPr>
              <w:t>Overall rating</w:t>
            </w:r>
          </w:p>
        </w:tc>
      </w:tr>
      <w:tr w:rsidR="0073298B" w14:paraId="705C1548" w14:textId="77777777">
        <w:tblPrEx>
          <w:tblCellMar>
            <w:top w:w="0" w:type="dxa"/>
            <w:bottom w:w="0" w:type="dxa"/>
          </w:tblCellMar>
        </w:tblPrEx>
        <w:tc>
          <w:tcPr>
            <w:tcW w:w="18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48B85FF" w14:textId="77777777" w:rsidR="0073298B" w:rsidRDefault="00000000">
            <w:pPr>
              <w:spacing w:line="252" w:lineRule="auto"/>
            </w:pPr>
            <w:r>
              <w:rPr>
                <w:b/>
                <w:bCs/>
                <w:color w:val="1F3B57"/>
                <w:sz w:val="19"/>
                <w:szCs w:val="19"/>
              </w:rPr>
              <w:t xml:space="preserve">Display </w:t>
            </w:r>
            <w:proofErr w:type="spellStart"/>
            <w:r>
              <w:rPr>
                <w:b/>
                <w:bCs/>
                <w:color w:val="1F3B57"/>
                <w:sz w:val="19"/>
                <w:szCs w:val="19"/>
              </w:rPr>
              <w:t>behaviour</w:t>
            </w:r>
            <w:proofErr w:type="spellEnd"/>
            <w:r>
              <w:rPr>
                <w:b/>
                <w:bCs/>
                <w:color w:val="1F3B57"/>
                <w:sz w:val="19"/>
                <w:szCs w:val="19"/>
              </w:rPr>
              <w:t xml:space="preserve"> (accept as-is)</w:t>
            </w:r>
          </w:p>
        </w:tc>
        <w:tc>
          <w:tcPr>
            <w:tcW w:w="371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7A04A2C" w14:textId="77777777" w:rsidR="0073298B" w:rsidRDefault="00000000">
            <w:pPr>
              <w:spacing w:line="252" w:lineRule="auto"/>
            </w:pPr>
            <w:r>
              <w:rPr>
                <w:color w:val="33414D"/>
                <w:sz w:val="19"/>
                <w:szCs w:val="19"/>
              </w:rPr>
              <w:t>A member sees a transfer as a few smaller, correctly-described lines instead of one.</w:t>
            </w:r>
          </w:p>
        </w:tc>
        <w:tc>
          <w:tcPr>
            <w:tcW w:w="12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B4A5F36" w14:textId="77777777" w:rsidR="0073298B" w:rsidRDefault="00000000">
            <w:pPr>
              <w:spacing w:line="252" w:lineRule="auto"/>
            </w:pPr>
            <w:r>
              <w:rPr>
                <w:color w:val="33414D"/>
                <w:sz w:val="19"/>
                <w:szCs w:val="19"/>
              </w:rPr>
              <w:t>Low</w:t>
            </w:r>
          </w:p>
        </w:tc>
        <w:tc>
          <w:tcPr>
            <w:tcW w:w="11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F3383AB" w14:textId="77777777" w:rsidR="0073298B" w:rsidRDefault="00000000">
            <w:pPr>
              <w:spacing w:line="252" w:lineRule="auto"/>
            </w:pPr>
            <w:r>
              <w:rPr>
                <w:color w:val="33414D"/>
                <w:sz w:val="19"/>
                <w:szCs w:val="19"/>
              </w:rPr>
              <w:t>Low</w:t>
            </w:r>
          </w:p>
        </w:tc>
        <w:tc>
          <w:tcPr>
            <w:tcW w:w="15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64F0413" w14:textId="77777777" w:rsidR="0073298B" w:rsidRDefault="00000000">
            <w:pPr>
              <w:spacing w:line="252" w:lineRule="auto"/>
            </w:pPr>
            <w:r>
              <w:rPr>
                <w:b/>
                <w:bCs/>
                <w:color w:val="2E7D5B"/>
                <w:sz w:val="19"/>
                <w:szCs w:val="19"/>
              </w:rPr>
              <w:t>Low</w:t>
            </w:r>
          </w:p>
        </w:tc>
      </w:tr>
      <w:tr w:rsidR="0073298B" w14:paraId="0DC1242F" w14:textId="77777777">
        <w:tblPrEx>
          <w:tblCellMar>
            <w:top w:w="0" w:type="dxa"/>
            <w:bottom w:w="0" w:type="dxa"/>
          </w:tblCellMar>
        </w:tblPrEx>
        <w:tc>
          <w:tcPr>
            <w:tcW w:w="18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7A956D5" w14:textId="77777777" w:rsidR="0073298B" w:rsidRDefault="00000000">
            <w:pPr>
              <w:spacing w:line="252" w:lineRule="auto"/>
            </w:pPr>
            <w:r>
              <w:rPr>
                <w:b/>
                <w:bCs/>
                <w:color w:val="1F3B57"/>
                <w:sz w:val="19"/>
                <w:szCs w:val="19"/>
              </w:rPr>
              <w:t>Performance on shared endpoint</w:t>
            </w:r>
          </w:p>
        </w:tc>
        <w:tc>
          <w:tcPr>
            <w:tcW w:w="371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674DD9A" w14:textId="77777777" w:rsidR="0073298B" w:rsidRDefault="00000000">
            <w:pPr>
              <w:spacing w:line="252" w:lineRule="auto"/>
            </w:pPr>
            <w:r>
              <w:rPr>
                <w:color w:val="33414D"/>
                <w:sz w:val="19"/>
                <w:szCs w:val="19"/>
              </w:rPr>
              <w:t>Consolidation logic on our top-two endpoint slows responses for everyone.</w:t>
            </w:r>
          </w:p>
        </w:tc>
        <w:tc>
          <w:tcPr>
            <w:tcW w:w="12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C664DF0" w14:textId="77777777" w:rsidR="0073298B" w:rsidRDefault="00000000">
            <w:pPr>
              <w:spacing w:line="252" w:lineRule="auto"/>
            </w:pPr>
            <w:r>
              <w:rPr>
                <w:color w:val="33414D"/>
                <w:sz w:val="19"/>
                <w:szCs w:val="19"/>
              </w:rPr>
              <w:t>High</w:t>
            </w:r>
          </w:p>
        </w:tc>
        <w:tc>
          <w:tcPr>
            <w:tcW w:w="11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BC8C6BA" w14:textId="77777777" w:rsidR="0073298B" w:rsidRDefault="00000000">
            <w:pPr>
              <w:spacing w:line="252" w:lineRule="auto"/>
            </w:pPr>
            <w:r>
              <w:rPr>
                <w:color w:val="33414D"/>
                <w:sz w:val="19"/>
                <w:szCs w:val="19"/>
              </w:rPr>
              <w:t>High</w:t>
            </w:r>
          </w:p>
        </w:tc>
        <w:tc>
          <w:tcPr>
            <w:tcW w:w="15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07CC5E8" w14:textId="77777777" w:rsidR="0073298B" w:rsidRDefault="00000000">
            <w:pPr>
              <w:spacing w:line="252" w:lineRule="auto"/>
            </w:pPr>
            <w:r>
              <w:rPr>
                <w:b/>
                <w:bCs/>
                <w:color w:val="C0392B"/>
                <w:sz w:val="19"/>
                <w:szCs w:val="19"/>
              </w:rPr>
              <w:t>Critical</w:t>
            </w:r>
          </w:p>
        </w:tc>
      </w:tr>
      <w:tr w:rsidR="0073298B" w14:paraId="77421B97" w14:textId="77777777">
        <w:tblPrEx>
          <w:tblCellMar>
            <w:top w:w="0" w:type="dxa"/>
            <w:bottom w:w="0" w:type="dxa"/>
          </w:tblCellMar>
        </w:tblPrEx>
        <w:tc>
          <w:tcPr>
            <w:tcW w:w="18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595DCD1" w14:textId="77777777" w:rsidR="0073298B" w:rsidRDefault="00000000">
            <w:pPr>
              <w:spacing w:line="252" w:lineRule="auto"/>
            </w:pPr>
            <w:r>
              <w:rPr>
                <w:b/>
                <w:bCs/>
                <w:color w:val="1F3B57"/>
                <w:sz w:val="19"/>
                <w:szCs w:val="19"/>
              </w:rPr>
              <w:t>Cost / query load</w:t>
            </w:r>
          </w:p>
        </w:tc>
        <w:tc>
          <w:tcPr>
            <w:tcW w:w="371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1450B2E" w14:textId="77777777" w:rsidR="0073298B" w:rsidRDefault="00000000">
            <w:pPr>
              <w:spacing w:line="252" w:lineRule="auto"/>
            </w:pPr>
            <w:r>
              <w:rPr>
                <w:color w:val="33414D"/>
                <w:sz w:val="19"/>
                <w:szCs w:val="19"/>
              </w:rPr>
              <w:t>Roughly double the point-bank queries per call on a very high-traffic endpoint.</w:t>
            </w:r>
          </w:p>
        </w:tc>
        <w:tc>
          <w:tcPr>
            <w:tcW w:w="12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0CAA199" w14:textId="77777777" w:rsidR="0073298B" w:rsidRDefault="00000000">
            <w:pPr>
              <w:spacing w:line="252" w:lineRule="auto"/>
            </w:pPr>
            <w:r>
              <w:rPr>
                <w:color w:val="33414D"/>
                <w:sz w:val="19"/>
                <w:szCs w:val="19"/>
              </w:rPr>
              <w:t>High</w:t>
            </w:r>
          </w:p>
        </w:tc>
        <w:tc>
          <w:tcPr>
            <w:tcW w:w="11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8A66C23" w14:textId="77777777" w:rsidR="0073298B" w:rsidRDefault="00000000">
            <w:pPr>
              <w:spacing w:line="252" w:lineRule="auto"/>
            </w:pPr>
            <w:r>
              <w:rPr>
                <w:color w:val="33414D"/>
                <w:sz w:val="19"/>
                <w:szCs w:val="19"/>
              </w:rPr>
              <w:t>High</w:t>
            </w:r>
          </w:p>
        </w:tc>
        <w:tc>
          <w:tcPr>
            <w:tcW w:w="15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38F3071" w14:textId="77777777" w:rsidR="0073298B" w:rsidRDefault="00000000">
            <w:pPr>
              <w:spacing w:line="252" w:lineRule="auto"/>
            </w:pPr>
            <w:r>
              <w:rPr>
                <w:b/>
                <w:bCs/>
                <w:color w:val="C0392B"/>
                <w:sz w:val="19"/>
                <w:szCs w:val="19"/>
              </w:rPr>
              <w:t>Critical</w:t>
            </w:r>
          </w:p>
        </w:tc>
      </w:tr>
      <w:tr w:rsidR="0073298B" w14:paraId="67EA115B" w14:textId="77777777">
        <w:tblPrEx>
          <w:tblCellMar>
            <w:top w:w="0" w:type="dxa"/>
            <w:bottom w:w="0" w:type="dxa"/>
          </w:tblCellMar>
        </w:tblPrEx>
        <w:tc>
          <w:tcPr>
            <w:tcW w:w="18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E296711" w14:textId="77777777" w:rsidR="0073298B" w:rsidRDefault="00000000">
            <w:pPr>
              <w:spacing w:line="252" w:lineRule="auto"/>
            </w:pPr>
            <w:r>
              <w:rPr>
                <w:b/>
                <w:bCs/>
                <w:color w:val="1F3B57"/>
                <w:sz w:val="19"/>
                <w:szCs w:val="19"/>
              </w:rPr>
              <w:t>Pagination, filters &amp; grouping</w:t>
            </w:r>
          </w:p>
        </w:tc>
        <w:tc>
          <w:tcPr>
            <w:tcW w:w="371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563D0B7" w14:textId="77777777" w:rsidR="0073298B" w:rsidRDefault="00000000">
            <w:pPr>
              <w:spacing w:line="252" w:lineRule="auto"/>
            </w:pPr>
            <w:r>
              <w:rPr>
                <w:color w:val="33414D"/>
                <w:sz w:val="19"/>
                <w:szCs w:val="19"/>
              </w:rPr>
              <w:t>Runtime grouping breaks paging and the CSM filters / grouping Shell &amp; Tangerine depend on.</w:t>
            </w:r>
          </w:p>
        </w:tc>
        <w:tc>
          <w:tcPr>
            <w:tcW w:w="12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14AD8A4" w14:textId="77777777" w:rsidR="0073298B" w:rsidRDefault="00000000">
            <w:pPr>
              <w:spacing w:line="252" w:lineRule="auto"/>
            </w:pPr>
            <w:r>
              <w:rPr>
                <w:color w:val="33414D"/>
                <w:sz w:val="19"/>
                <w:szCs w:val="19"/>
              </w:rPr>
              <w:t>Med–High</w:t>
            </w:r>
          </w:p>
        </w:tc>
        <w:tc>
          <w:tcPr>
            <w:tcW w:w="11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F65F573" w14:textId="77777777" w:rsidR="0073298B" w:rsidRDefault="00000000">
            <w:pPr>
              <w:spacing w:line="252" w:lineRule="auto"/>
            </w:pPr>
            <w:r>
              <w:rPr>
                <w:color w:val="33414D"/>
                <w:sz w:val="19"/>
                <w:szCs w:val="19"/>
              </w:rPr>
              <w:t>High</w:t>
            </w:r>
          </w:p>
        </w:tc>
        <w:tc>
          <w:tcPr>
            <w:tcW w:w="15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5862FF1" w14:textId="77777777" w:rsidR="0073298B" w:rsidRDefault="00000000">
            <w:pPr>
              <w:spacing w:line="252" w:lineRule="auto"/>
            </w:pPr>
            <w:r>
              <w:rPr>
                <w:b/>
                <w:bCs/>
                <w:color w:val="C0392B"/>
                <w:sz w:val="19"/>
                <w:szCs w:val="19"/>
              </w:rPr>
              <w:t>High</w:t>
            </w:r>
          </w:p>
        </w:tc>
      </w:tr>
      <w:tr w:rsidR="0073298B" w14:paraId="34E38444" w14:textId="77777777">
        <w:tblPrEx>
          <w:tblCellMar>
            <w:top w:w="0" w:type="dxa"/>
            <w:bottom w:w="0" w:type="dxa"/>
          </w:tblCellMar>
        </w:tblPrEx>
        <w:tc>
          <w:tcPr>
            <w:tcW w:w="185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19A8C3FA" w14:textId="77777777" w:rsidR="0073298B" w:rsidRDefault="00000000">
            <w:pPr>
              <w:spacing w:line="252" w:lineRule="auto"/>
            </w:pPr>
            <w:r>
              <w:rPr>
                <w:b/>
                <w:bCs/>
                <w:color w:val="1F3B57"/>
                <w:sz w:val="19"/>
                <w:szCs w:val="19"/>
              </w:rPr>
              <w:t>Liability &amp; financial reporting</w:t>
            </w:r>
          </w:p>
        </w:tc>
        <w:tc>
          <w:tcPr>
            <w:tcW w:w="371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7A730138" w14:textId="77777777" w:rsidR="0073298B" w:rsidRDefault="00000000">
            <w:pPr>
              <w:spacing w:line="252" w:lineRule="auto"/>
            </w:pPr>
            <w:r>
              <w:rPr>
                <w:color w:val="33414D"/>
                <w:sz w:val="19"/>
                <w:szCs w:val="19"/>
              </w:rPr>
              <w:t>Touching the proven point-bank path lands liability in the wrong reporting bucket.</w:t>
            </w:r>
          </w:p>
        </w:tc>
        <w:tc>
          <w:tcPr>
            <w:tcW w:w="12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2902B26A" w14:textId="77777777" w:rsidR="0073298B" w:rsidRDefault="00000000">
            <w:pPr>
              <w:spacing w:line="252" w:lineRule="auto"/>
            </w:pPr>
            <w:r>
              <w:rPr>
                <w:color w:val="33414D"/>
                <w:sz w:val="19"/>
                <w:szCs w:val="19"/>
              </w:rPr>
              <w:t>Low</w:t>
            </w:r>
          </w:p>
        </w:tc>
        <w:tc>
          <w:tcPr>
            <w:tcW w:w="11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78343BA" w14:textId="77777777" w:rsidR="0073298B" w:rsidRDefault="00000000">
            <w:pPr>
              <w:spacing w:line="252" w:lineRule="auto"/>
            </w:pPr>
            <w:r>
              <w:rPr>
                <w:color w:val="33414D"/>
                <w:sz w:val="19"/>
                <w:szCs w:val="19"/>
              </w:rPr>
              <w:t>High</w:t>
            </w:r>
          </w:p>
        </w:tc>
        <w:tc>
          <w:tcPr>
            <w:tcW w:w="15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31CA31C1" w14:textId="77777777" w:rsidR="0073298B" w:rsidRDefault="00000000">
            <w:pPr>
              <w:spacing w:line="252" w:lineRule="auto"/>
            </w:pPr>
            <w:r>
              <w:rPr>
                <w:b/>
                <w:bCs/>
                <w:color w:val="C2700E"/>
                <w:sz w:val="19"/>
                <w:szCs w:val="19"/>
              </w:rPr>
              <w:t>Medium–High</w:t>
            </w:r>
          </w:p>
        </w:tc>
      </w:tr>
      <w:tr w:rsidR="0073298B" w14:paraId="4A5383CD" w14:textId="77777777">
        <w:tblPrEx>
          <w:tblCellMar>
            <w:top w:w="0" w:type="dxa"/>
            <w:bottom w:w="0" w:type="dxa"/>
          </w:tblCellMar>
        </w:tblPrEx>
        <w:tc>
          <w:tcPr>
            <w:tcW w:w="185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175605AA" w14:textId="77777777" w:rsidR="0073298B" w:rsidRDefault="00000000">
            <w:pPr>
              <w:spacing w:line="252" w:lineRule="auto"/>
            </w:pPr>
            <w:r>
              <w:rPr>
                <w:b/>
                <w:bCs/>
                <w:color w:val="1F3B57"/>
                <w:sz w:val="19"/>
                <w:szCs w:val="19"/>
              </w:rPr>
              <w:t>Blast radius across partners</w:t>
            </w:r>
          </w:p>
        </w:tc>
        <w:tc>
          <w:tcPr>
            <w:tcW w:w="371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A23FFE1" w14:textId="77777777" w:rsidR="0073298B" w:rsidRDefault="00000000">
            <w:pPr>
              <w:spacing w:line="252" w:lineRule="auto"/>
            </w:pPr>
            <w:r>
              <w:rPr>
                <w:color w:val="33414D"/>
                <w:sz w:val="19"/>
                <w:szCs w:val="19"/>
              </w:rPr>
              <w:t>A BNS-only change degrades Scene, Shell and Tangerine through the shared endpoint.</w:t>
            </w:r>
          </w:p>
        </w:tc>
        <w:tc>
          <w:tcPr>
            <w:tcW w:w="12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321C52A0" w14:textId="77777777" w:rsidR="0073298B" w:rsidRDefault="00000000">
            <w:pPr>
              <w:spacing w:line="252" w:lineRule="auto"/>
            </w:pPr>
            <w:r>
              <w:rPr>
                <w:color w:val="33414D"/>
                <w:sz w:val="19"/>
                <w:szCs w:val="19"/>
              </w:rPr>
              <w:t>Medium</w:t>
            </w:r>
          </w:p>
        </w:tc>
        <w:tc>
          <w:tcPr>
            <w:tcW w:w="11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39A8F95" w14:textId="77777777" w:rsidR="0073298B" w:rsidRDefault="00000000">
            <w:pPr>
              <w:spacing w:line="252" w:lineRule="auto"/>
            </w:pPr>
            <w:r>
              <w:rPr>
                <w:color w:val="33414D"/>
                <w:sz w:val="19"/>
                <w:szCs w:val="19"/>
              </w:rPr>
              <w:t>High</w:t>
            </w:r>
          </w:p>
        </w:tc>
        <w:tc>
          <w:tcPr>
            <w:tcW w:w="15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B82F73B" w14:textId="77777777" w:rsidR="0073298B" w:rsidRDefault="00000000">
            <w:pPr>
              <w:spacing w:line="252" w:lineRule="auto"/>
            </w:pPr>
            <w:r>
              <w:rPr>
                <w:b/>
                <w:bCs/>
                <w:color w:val="C0392B"/>
                <w:sz w:val="19"/>
                <w:szCs w:val="19"/>
              </w:rPr>
              <w:t>High</w:t>
            </w:r>
          </w:p>
        </w:tc>
      </w:tr>
    </w:tbl>
    <w:p w14:paraId="00F4227F" w14:textId="77777777" w:rsidR="0073298B" w:rsidRDefault="00000000">
      <w:pPr>
        <w:spacing w:before="60" w:after="220" w:line="252" w:lineRule="auto"/>
      </w:pPr>
      <w:r>
        <w:rPr>
          <w:i/>
          <w:iCs/>
          <w:color w:val="5A6573"/>
          <w:sz w:val="17"/>
          <w:szCs w:val="17"/>
        </w:rPr>
        <w:t xml:space="preserve">How to read the ratings:  </w:t>
      </w:r>
      <w:r>
        <w:rPr>
          <w:b/>
          <w:bCs/>
          <w:i/>
          <w:iCs/>
          <w:color w:val="2E6E8E"/>
          <w:sz w:val="17"/>
          <w:szCs w:val="17"/>
        </w:rPr>
        <w:t>Critical</w:t>
      </w:r>
      <w:r>
        <w:rPr>
          <w:i/>
          <w:iCs/>
          <w:color w:val="5A6573"/>
          <w:sz w:val="17"/>
          <w:szCs w:val="17"/>
        </w:rPr>
        <w:t xml:space="preserve"> = must be consciously accepted before we proceed   •   </w:t>
      </w:r>
      <w:r>
        <w:rPr>
          <w:b/>
          <w:bCs/>
          <w:i/>
          <w:iCs/>
          <w:color w:val="2E6E8E"/>
          <w:sz w:val="17"/>
          <w:szCs w:val="17"/>
        </w:rPr>
        <w:t>High</w:t>
      </w:r>
      <w:r>
        <w:rPr>
          <w:i/>
          <w:iCs/>
          <w:color w:val="5A6573"/>
          <w:sz w:val="17"/>
          <w:szCs w:val="17"/>
        </w:rPr>
        <w:t xml:space="preserve"> = needs real attention   •   </w:t>
      </w:r>
      <w:r>
        <w:rPr>
          <w:b/>
          <w:bCs/>
          <w:i/>
          <w:iCs/>
          <w:color w:val="2E6E8E"/>
          <w:sz w:val="17"/>
          <w:szCs w:val="17"/>
        </w:rPr>
        <w:t>Medium–High / Medium</w:t>
      </w:r>
      <w:r>
        <w:rPr>
          <w:i/>
          <w:iCs/>
          <w:color w:val="5A6573"/>
          <w:sz w:val="17"/>
          <w:szCs w:val="17"/>
        </w:rPr>
        <w:t xml:space="preserve"> = keep a close eye on it   •   </w:t>
      </w:r>
      <w:r>
        <w:rPr>
          <w:b/>
          <w:bCs/>
          <w:i/>
          <w:iCs/>
          <w:color w:val="2E6E8E"/>
          <w:sz w:val="17"/>
          <w:szCs w:val="17"/>
        </w:rPr>
        <w:t>Low</w:t>
      </w:r>
      <w:r>
        <w:rPr>
          <w:i/>
          <w:iCs/>
          <w:color w:val="5A6573"/>
          <w:sz w:val="17"/>
          <w:szCs w:val="17"/>
        </w:rPr>
        <w:t xml:space="preserve"> = manageable with normal care.</w:t>
      </w:r>
    </w:p>
    <w:p w14:paraId="30DC1F81" w14:textId="77777777" w:rsidR="0073298B" w:rsidRDefault="00000000">
      <w:pPr>
        <w:spacing w:after="200" w:line="252" w:lineRule="auto"/>
      </w:pPr>
      <w:r>
        <w:rPr>
          <w:b/>
          <w:bCs/>
          <w:i/>
          <w:iCs/>
          <w:color w:val="5A6573"/>
          <w:sz w:val="17"/>
          <w:szCs w:val="17"/>
        </w:rPr>
        <w:t>Likelihood / Impact</w:t>
      </w:r>
      <w:r>
        <w:rPr>
          <w:i/>
          <w:iCs/>
          <w:color w:val="5A6573"/>
          <w:sz w:val="17"/>
          <w:szCs w:val="17"/>
        </w:rPr>
        <w:t xml:space="preserve"> are our best judgement today and may shift as we learn more in testing.</w:t>
      </w:r>
    </w:p>
    <w:p w14:paraId="07B168A4" w14:textId="77777777" w:rsidR="0073298B" w:rsidRDefault="00000000">
      <w:pPr>
        <w:pStyle w:val="Heading1"/>
      </w:pPr>
      <w:r>
        <w:t>7. Recommendation &amp; sign-off</w:t>
      </w:r>
    </w:p>
    <w:p w14:paraId="3C081337" w14:textId="77777777" w:rsidR="0073298B" w:rsidRDefault="00000000">
      <w:pPr>
        <w:spacing w:after="140" w:line="278" w:lineRule="auto"/>
      </w:pPr>
      <w:r>
        <w:t xml:space="preserve">Our recommendation is to accept the display </w:t>
      </w:r>
      <w:proofErr w:type="spellStart"/>
      <w:r>
        <w:t>behaviour</w:t>
      </w:r>
      <w:proofErr w:type="spellEnd"/>
      <w:r>
        <w:t xml:space="preserve"> as it stands. It’s a rare, cosmetic edge case, every line is correctly described, and the chance of an affected member ever noticing it is very low. Set against that, “fixing” it means taking on a critical performance hit and a major ongoing cost on our busiest endpoint, plus a real regression risk in the liability and financial reporting we’ve already proven out. For a cosmetic issue, that trade isn’t worth it.</w:t>
      </w:r>
    </w:p>
    <w:p w14:paraId="1CD5E695" w14:textId="77777777" w:rsidR="0073298B" w:rsidRDefault="00000000">
      <w:pPr>
        <w:spacing w:after="80" w:line="278" w:lineRule="auto"/>
      </w:pPr>
      <w:r>
        <w:t>If the team still decides the history should show as a single consolidated line, then the middleware approach (Section 4.2) is the one we’d implement — and in choosing that path, Security, Finance and Architecture are accepting the risks called out above:</w:t>
      </w:r>
    </w:p>
    <w:p w14:paraId="54FBA9C2" w14:textId="77777777" w:rsidR="0073298B" w:rsidRDefault="00000000">
      <w:pPr>
        <w:pStyle w:val="ListParagraph"/>
        <w:numPr>
          <w:ilvl w:val="0"/>
          <w:numId w:val="3"/>
        </w:numPr>
        <w:spacing w:after="80" w:line="278" w:lineRule="auto"/>
      </w:pPr>
      <w:r>
        <w:rPr>
          <w:b/>
          <w:bCs/>
        </w:rPr>
        <w:t xml:space="preserve">Performance impact — </w:t>
      </w:r>
      <w:r>
        <w:rPr>
          <w:b/>
          <w:bCs/>
          <w:color w:val="C0392B"/>
        </w:rPr>
        <w:t>Critical.</w:t>
      </w:r>
    </w:p>
    <w:p w14:paraId="55AC6A31" w14:textId="77777777" w:rsidR="0073298B" w:rsidRDefault="00000000">
      <w:pPr>
        <w:pStyle w:val="ListParagraph"/>
        <w:numPr>
          <w:ilvl w:val="0"/>
          <w:numId w:val="3"/>
        </w:numPr>
        <w:spacing w:after="80" w:line="278" w:lineRule="auto"/>
      </w:pPr>
      <w:r>
        <w:rPr>
          <w:b/>
          <w:bCs/>
        </w:rPr>
        <w:t xml:space="preserve">Cost impact — </w:t>
      </w:r>
      <w:r>
        <w:rPr>
          <w:b/>
          <w:bCs/>
          <w:color w:val="C0392B"/>
        </w:rPr>
        <w:t>Critical</w:t>
      </w:r>
      <w:r>
        <w:t>, with a major ongoing effect.</w:t>
      </w:r>
    </w:p>
    <w:p w14:paraId="5272B729" w14:textId="77777777" w:rsidR="0073298B" w:rsidRDefault="00000000">
      <w:pPr>
        <w:pStyle w:val="ListParagraph"/>
        <w:numPr>
          <w:ilvl w:val="0"/>
          <w:numId w:val="3"/>
        </w:numPr>
        <w:spacing w:after="80" w:line="278" w:lineRule="auto"/>
      </w:pPr>
      <w:r>
        <w:rPr>
          <w:b/>
          <w:bCs/>
        </w:rPr>
        <w:t xml:space="preserve">Liability landing in the wrong reporting bucket — </w:t>
      </w:r>
      <w:r>
        <w:t>low likelihood, with checks in place, but possible.</w:t>
      </w:r>
    </w:p>
    <w:p w14:paraId="15E9862D" w14:textId="77777777" w:rsidR="0073298B" w:rsidRDefault="00000000">
      <w:pPr>
        <w:spacing w:before="60" w:after="140" w:line="278" w:lineRule="auto"/>
      </w:pPr>
      <w:r>
        <w:t>Sign-off below confirms the decision and that each team has read and accepts the risks in Section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73298B" w14:paraId="75B6FC6F" w14:textId="77777777">
        <w:tblPrEx>
          <w:tblCellMar>
            <w:top w:w="0" w:type="dxa"/>
            <w:bottom w:w="0" w:type="dxa"/>
          </w:tblCellMar>
        </w:tblPrEx>
        <w:trPr>
          <w:tblHeader/>
        </w:trPr>
        <w:tc>
          <w:tcPr>
            <w:tcW w:w="240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3ACD1D80" w14:textId="77777777" w:rsidR="0073298B" w:rsidRDefault="00000000">
            <w:pPr>
              <w:spacing w:line="252" w:lineRule="auto"/>
            </w:pPr>
            <w:r>
              <w:rPr>
                <w:b/>
                <w:bCs/>
                <w:color w:val="FFFFFF"/>
                <w:sz w:val="19"/>
                <w:szCs w:val="19"/>
              </w:rPr>
              <w:t>Team</w:t>
            </w:r>
          </w:p>
        </w:tc>
        <w:tc>
          <w:tcPr>
            <w:tcW w:w="336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69F19755" w14:textId="77777777" w:rsidR="0073298B" w:rsidRDefault="00000000">
            <w:pPr>
              <w:spacing w:line="252" w:lineRule="auto"/>
            </w:pPr>
            <w:r>
              <w:rPr>
                <w:b/>
                <w:bCs/>
                <w:color w:val="FFFFFF"/>
                <w:sz w:val="19"/>
                <w:szCs w:val="19"/>
              </w:rPr>
              <w:t>Name &amp; date</w:t>
            </w:r>
          </w:p>
        </w:tc>
        <w:tc>
          <w:tcPr>
            <w:tcW w:w="3600" w:type="dxa"/>
            <w:tcBorders>
              <w:top w:val="single" w:sz="1" w:space="0" w:color="C9D3DC"/>
              <w:left w:val="single" w:sz="1" w:space="0" w:color="C9D3DC"/>
              <w:bottom w:val="single" w:sz="1" w:space="0" w:color="C9D3DC"/>
              <w:right w:val="single" w:sz="1" w:space="0" w:color="C9D3DC"/>
            </w:tcBorders>
            <w:shd w:val="clear" w:color="auto" w:fill="1F3B57"/>
            <w:tcMar>
              <w:top w:w="70" w:type="dxa"/>
              <w:left w:w="120" w:type="dxa"/>
              <w:bottom w:w="70" w:type="dxa"/>
              <w:right w:w="120" w:type="dxa"/>
            </w:tcMar>
            <w:vAlign w:val="center"/>
          </w:tcPr>
          <w:p w14:paraId="74477DEE" w14:textId="77777777" w:rsidR="0073298B" w:rsidRDefault="00000000">
            <w:pPr>
              <w:spacing w:line="252" w:lineRule="auto"/>
            </w:pPr>
            <w:r>
              <w:rPr>
                <w:b/>
                <w:bCs/>
                <w:color w:val="FFFFFF"/>
                <w:sz w:val="19"/>
                <w:szCs w:val="19"/>
              </w:rPr>
              <w:t>Decision / sign-off</w:t>
            </w:r>
          </w:p>
        </w:tc>
      </w:tr>
      <w:tr w:rsidR="0073298B" w14:paraId="08C2B032"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07FF1A99" w14:textId="77777777" w:rsidR="0073298B" w:rsidRDefault="00000000">
            <w:pPr>
              <w:spacing w:line="252" w:lineRule="auto"/>
            </w:pPr>
            <w:r>
              <w:rPr>
                <w:b/>
                <w:bCs/>
                <w:color w:val="1F3B57"/>
                <w:sz w:val="19"/>
                <w:szCs w:val="19"/>
              </w:rPr>
              <w:t>Engineering / Platform</w:t>
            </w:r>
          </w:p>
        </w:tc>
        <w:tc>
          <w:tcPr>
            <w:tcW w:w="33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0AC2530" w14:textId="77777777" w:rsidR="0073298B" w:rsidRDefault="00000000">
            <w:pPr>
              <w:spacing w:line="252" w:lineRule="auto"/>
            </w:pPr>
            <w:r>
              <w:rPr>
                <w:color w:val="33414D"/>
                <w:sz w:val="19"/>
                <w:szCs w:val="19"/>
              </w:rPr>
              <w:t>Nik</w:t>
            </w:r>
          </w:p>
        </w:tc>
        <w:tc>
          <w:tcPr>
            <w:tcW w:w="36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71B98D3" w14:textId="77777777" w:rsidR="0073298B" w:rsidRDefault="00000000">
            <w:pPr>
              <w:spacing w:line="252" w:lineRule="auto"/>
            </w:pPr>
            <w:r>
              <w:rPr>
                <w:color w:val="33414D"/>
                <w:sz w:val="19"/>
                <w:szCs w:val="19"/>
              </w:rPr>
              <w:t xml:space="preserve">Recommends accepting the current </w:t>
            </w:r>
            <w:proofErr w:type="spellStart"/>
            <w:r>
              <w:rPr>
                <w:color w:val="33414D"/>
                <w:sz w:val="19"/>
                <w:szCs w:val="19"/>
              </w:rPr>
              <w:t>behaviour</w:t>
            </w:r>
            <w:proofErr w:type="spellEnd"/>
          </w:p>
        </w:tc>
      </w:tr>
      <w:tr w:rsidR="0073298B" w14:paraId="2085BA17"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2FEE23F7" w14:textId="77777777" w:rsidR="0073298B" w:rsidRDefault="00000000">
            <w:pPr>
              <w:spacing w:line="252" w:lineRule="auto"/>
            </w:pPr>
            <w:r>
              <w:rPr>
                <w:b/>
                <w:bCs/>
                <w:color w:val="1F3B57"/>
                <w:sz w:val="19"/>
                <w:szCs w:val="19"/>
              </w:rPr>
              <w:lastRenderedPageBreak/>
              <w:t>Security</w:t>
            </w:r>
          </w:p>
        </w:tc>
        <w:tc>
          <w:tcPr>
            <w:tcW w:w="33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5DE67E3D" w14:textId="77777777" w:rsidR="0073298B" w:rsidRDefault="0073298B">
            <w:pPr>
              <w:spacing w:line="252" w:lineRule="auto"/>
            </w:pPr>
          </w:p>
        </w:tc>
        <w:tc>
          <w:tcPr>
            <w:tcW w:w="36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6E85DD3F" w14:textId="77777777" w:rsidR="0073298B" w:rsidRDefault="0073298B">
            <w:pPr>
              <w:spacing w:line="252" w:lineRule="auto"/>
            </w:pPr>
          </w:p>
        </w:tc>
      </w:tr>
      <w:tr w:rsidR="0073298B" w14:paraId="750CCCAD"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4540D61A" w14:textId="77777777" w:rsidR="0073298B" w:rsidRDefault="00000000">
            <w:pPr>
              <w:spacing w:line="252" w:lineRule="auto"/>
            </w:pPr>
            <w:r>
              <w:rPr>
                <w:b/>
                <w:bCs/>
                <w:color w:val="1F3B57"/>
                <w:sz w:val="19"/>
                <w:szCs w:val="19"/>
              </w:rPr>
              <w:t>Finance</w:t>
            </w:r>
          </w:p>
        </w:tc>
        <w:tc>
          <w:tcPr>
            <w:tcW w:w="336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636283CD" w14:textId="77777777" w:rsidR="0073298B" w:rsidRDefault="0073298B">
            <w:pPr>
              <w:spacing w:line="252" w:lineRule="auto"/>
            </w:pPr>
          </w:p>
        </w:tc>
        <w:tc>
          <w:tcPr>
            <w:tcW w:w="3600" w:type="dxa"/>
            <w:tcBorders>
              <w:top w:val="single" w:sz="1" w:space="0" w:color="C9D3DC"/>
              <w:left w:val="single" w:sz="1" w:space="0" w:color="C9D3DC"/>
              <w:bottom w:val="single" w:sz="1" w:space="0" w:color="C9D3DC"/>
              <w:right w:val="single" w:sz="1" w:space="0" w:color="C9D3DC"/>
            </w:tcBorders>
            <w:tcMar>
              <w:top w:w="70" w:type="dxa"/>
              <w:left w:w="120" w:type="dxa"/>
              <w:bottom w:w="70" w:type="dxa"/>
              <w:right w:w="120" w:type="dxa"/>
            </w:tcMar>
            <w:vAlign w:val="center"/>
          </w:tcPr>
          <w:p w14:paraId="55673FF0" w14:textId="77777777" w:rsidR="0073298B" w:rsidRDefault="0073298B">
            <w:pPr>
              <w:spacing w:line="252" w:lineRule="auto"/>
            </w:pPr>
          </w:p>
        </w:tc>
      </w:tr>
      <w:tr w:rsidR="0073298B" w14:paraId="6B7D4BB3" w14:textId="77777777">
        <w:tblPrEx>
          <w:tblCellMar>
            <w:top w:w="0" w:type="dxa"/>
            <w:bottom w:w="0" w:type="dxa"/>
          </w:tblCellMar>
        </w:tblPrEx>
        <w:tc>
          <w:tcPr>
            <w:tcW w:w="24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0714F7AC" w14:textId="7D7E6AF4" w:rsidR="0073298B" w:rsidRDefault="00BF3D89">
            <w:pPr>
              <w:spacing w:line="252" w:lineRule="auto"/>
            </w:pPr>
            <w:r>
              <w:rPr>
                <w:b/>
                <w:bCs/>
                <w:color w:val="1F3B57"/>
                <w:sz w:val="19"/>
                <w:szCs w:val="19"/>
              </w:rPr>
              <w:t xml:space="preserve">Scene / Scotia </w:t>
            </w:r>
            <w:r w:rsidR="00000000">
              <w:rPr>
                <w:b/>
                <w:bCs/>
                <w:color w:val="1F3B57"/>
                <w:sz w:val="19"/>
                <w:szCs w:val="19"/>
              </w:rPr>
              <w:t>Architecture</w:t>
            </w:r>
          </w:p>
        </w:tc>
        <w:tc>
          <w:tcPr>
            <w:tcW w:w="336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4A6E2779" w14:textId="77777777" w:rsidR="0073298B" w:rsidRDefault="0073298B">
            <w:pPr>
              <w:spacing w:line="252" w:lineRule="auto"/>
            </w:pPr>
          </w:p>
        </w:tc>
        <w:tc>
          <w:tcPr>
            <w:tcW w:w="3600" w:type="dxa"/>
            <w:tcBorders>
              <w:top w:val="single" w:sz="1" w:space="0" w:color="C9D3DC"/>
              <w:left w:val="single" w:sz="1" w:space="0" w:color="C9D3DC"/>
              <w:bottom w:val="single" w:sz="1" w:space="0" w:color="C9D3DC"/>
              <w:right w:val="single" w:sz="1" w:space="0" w:color="C9D3DC"/>
            </w:tcBorders>
            <w:shd w:val="clear" w:color="auto" w:fill="F3F6F9"/>
            <w:tcMar>
              <w:top w:w="70" w:type="dxa"/>
              <w:left w:w="120" w:type="dxa"/>
              <w:bottom w:w="70" w:type="dxa"/>
              <w:right w:w="120" w:type="dxa"/>
            </w:tcMar>
            <w:vAlign w:val="center"/>
          </w:tcPr>
          <w:p w14:paraId="7EED2A50" w14:textId="77777777" w:rsidR="0073298B" w:rsidRDefault="0073298B">
            <w:pPr>
              <w:spacing w:line="252" w:lineRule="auto"/>
            </w:pPr>
          </w:p>
        </w:tc>
      </w:tr>
    </w:tbl>
    <w:p w14:paraId="40CE0FFB" w14:textId="77777777" w:rsidR="00856786" w:rsidRDefault="00856786"/>
    <w:sectPr w:rsidR="0085678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DBEBE" w14:textId="77777777" w:rsidR="00856786" w:rsidRDefault="00856786">
      <w:r>
        <w:separator/>
      </w:r>
    </w:p>
  </w:endnote>
  <w:endnote w:type="continuationSeparator" w:id="0">
    <w:p w14:paraId="3869D853" w14:textId="77777777" w:rsidR="00856786" w:rsidRDefault="00856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9A37B" w14:textId="77777777" w:rsidR="0073298B" w:rsidRDefault="00000000">
    <w:pPr>
      <w:pBdr>
        <w:top w:val="single" w:sz="4" w:space="2" w:color="C9D3DC"/>
      </w:pBdr>
      <w:tabs>
        <w:tab w:val="right" w:pos="9360"/>
      </w:tabs>
    </w:pPr>
    <w:r>
      <w:rPr>
        <w:color w:val="5A6573"/>
        <w:sz w:val="16"/>
        <w:szCs w:val="16"/>
      </w:rPr>
      <w:t>Confidential — for Scene+ review</w:t>
    </w:r>
    <w:r>
      <w:rPr>
        <w:color w:val="5A6573"/>
        <w:sz w:val="16"/>
        <w:szCs w:val="16"/>
      </w:rPr>
      <w:tab/>
      <w:t xml:space="preserve">Page </w:t>
    </w:r>
    <w:r>
      <w:rPr>
        <w:color w:val="5A6573"/>
        <w:sz w:val="16"/>
        <w:szCs w:val="16"/>
      </w:rPr>
      <w:fldChar w:fldCharType="begin"/>
    </w:r>
    <w:r>
      <w:rPr>
        <w:color w:val="5A6573"/>
        <w:sz w:val="16"/>
        <w:szCs w:val="16"/>
      </w:rPr>
      <w:instrText>PAGE</w:instrText>
    </w:r>
    <w:r>
      <w:rPr>
        <w:color w:val="5A6573"/>
        <w:sz w:val="16"/>
        <w:szCs w:val="16"/>
      </w:rPr>
      <w:fldChar w:fldCharType="separate"/>
    </w:r>
    <w:r w:rsidR="00BF3D89">
      <w:rPr>
        <w:noProof/>
        <w:color w:val="5A6573"/>
        <w:sz w:val="16"/>
        <w:szCs w:val="16"/>
      </w:rPr>
      <w:t>1</w:t>
    </w:r>
    <w:r>
      <w:rPr>
        <w:color w:val="5A6573"/>
        <w:sz w:val="16"/>
        <w:szCs w:val="16"/>
      </w:rPr>
      <w:fldChar w:fldCharType="end"/>
    </w:r>
    <w:r>
      <w:rPr>
        <w:color w:val="5A6573"/>
        <w:sz w:val="16"/>
        <w:szCs w:val="16"/>
      </w:rPr>
      <w:t xml:space="preserve"> of </w:t>
    </w:r>
    <w:r>
      <w:rPr>
        <w:color w:val="5A6573"/>
        <w:sz w:val="16"/>
        <w:szCs w:val="16"/>
      </w:rPr>
      <w:fldChar w:fldCharType="begin"/>
    </w:r>
    <w:r>
      <w:rPr>
        <w:color w:val="5A6573"/>
        <w:sz w:val="16"/>
        <w:szCs w:val="16"/>
      </w:rPr>
      <w:instrText>NUMPAGES</w:instrText>
    </w:r>
    <w:r>
      <w:rPr>
        <w:color w:val="5A6573"/>
        <w:sz w:val="16"/>
        <w:szCs w:val="16"/>
      </w:rPr>
      <w:fldChar w:fldCharType="separate"/>
    </w:r>
    <w:r w:rsidR="00BF3D89">
      <w:rPr>
        <w:noProof/>
        <w:color w:val="5A6573"/>
        <w:sz w:val="16"/>
        <w:szCs w:val="16"/>
      </w:rPr>
      <w:t>2</w:t>
    </w:r>
    <w:r>
      <w:rPr>
        <w:color w:val="5A65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53436" w14:textId="77777777" w:rsidR="00856786" w:rsidRDefault="00856786">
      <w:r>
        <w:separator/>
      </w:r>
    </w:p>
  </w:footnote>
  <w:footnote w:type="continuationSeparator" w:id="0">
    <w:p w14:paraId="00B01CA9" w14:textId="77777777" w:rsidR="00856786" w:rsidRDefault="008567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2AA25" w14:textId="77777777" w:rsidR="0073298B" w:rsidRDefault="00000000">
    <w:pPr>
      <w:pBdr>
        <w:bottom w:val="single" w:sz="4" w:space="2" w:color="C9D3DC"/>
      </w:pBdr>
      <w:tabs>
        <w:tab w:val="right" w:pos="9360"/>
      </w:tabs>
    </w:pPr>
    <w:r>
      <w:rPr>
        <w:color w:val="5A6573"/>
        <w:sz w:val="16"/>
        <w:szCs w:val="16"/>
      </w:rPr>
      <w:t>Risk Acceptance &amp; Sign-Off</w:t>
    </w:r>
    <w:r>
      <w:rPr>
        <w:color w:val="5A6573"/>
        <w:sz w:val="16"/>
        <w:szCs w:val="16"/>
      </w:rPr>
      <w:tab/>
      <w:t>Scene+ / BNS — Point Consolidation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64AC1"/>
    <w:multiLevelType w:val="hybridMultilevel"/>
    <w:tmpl w:val="0562DB6C"/>
    <w:lvl w:ilvl="0" w:tplc="39F27B44">
      <w:start w:val="1"/>
      <w:numFmt w:val="decimal"/>
      <w:lvlText w:val="%1."/>
      <w:lvlJc w:val="left"/>
      <w:pPr>
        <w:ind w:left="600" w:hanging="300"/>
      </w:pPr>
    </w:lvl>
    <w:lvl w:ilvl="1" w:tplc="454E10C2">
      <w:numFmt w:val="decimal"/>
      <w:lvlText w:val=""/>
      <w:lvlJc w:val="left"/>
    </w:lvl>
    <w:lvl w:ilvl="2" w:tplc="2188CB04">
      <w:numFmt w:val="decimal"/>
      <w:lvlText w:val=""/>
      <w:lvlJc w:val="left"/>
    </w:lvl>
    <w:lvl w:ilvl="3" w:tplc="F00ED76A">
      <w:numFmt w:val="decimal"/>
      <w:lvlText w:val=""/>
      <w:lvlJc w:val="left"/>
    </w:lvl>
    <w:lvl w:ilvl="4" w:tplc="C01C9E36">
      <w:numFmt w:val="decimal"/>
      <w:lvlText w:val=""/>
      <w:lvlJc w:val="left"/>
    </w:lvl>
    <w:lvl w:ilvl="5" w:tplc="F98CFF76">
      <w:numFmt w:val="decimal"/>
      <w:lvlText w:val=""/>
      <w:lvlJc w:val="left"/>
    </w:lvl>
    <w:lvl w:ilvl="6" w:tplc="D6DA05CE">
      <w:numFmt w:val="decimal"/>
      <w:lvlText w:val=""/>
      <w:lvlJc w:val="left"/>
    </w:lvl>
    <w:lvl w:ilvl="7" w:tplc="2D78C1E2">
      <w:numFmt w:val="decimal"/>
      <w:lvlText w:val=""/>
      <w:lvlJc w:val="left"/>
    </w:lvl>
    <w:lvl w:ilvl="8" w:tplc="8A0EB612">
      <w:numFmt w:val="decimal"/>
      <w:lvlText w:val=""/>
      <w:lvlJc w:val="left"/>
    </w:lvl>
  </w:abstractNum>
  <w:abstractNum w:abstractNumId="1" w15:restartNumberingAfterBreak="0">
    <w:nsid w:val="5CE33F3A"/>
    <w:multiLevelType w:val="hybridMultilevel"/>
    <w:tmpl w:val="E926E2C0"/>
    <w:lvl w:ilvl="0" w:tplc="7AA210E2">
      <w:start w:val="1"/>
      <w:numFmt w:val="bullet"/>
      <w:lvlText w:val="●"/>
      <w:lvlJc w:val="left"/>
      <w:pPr>
        <w:ind w:left="720" w:hanging="360"/>
      </w:pPr>
    </w:lvl>
    <w:lvl w:ilvl="1" w:tplc="3404F80C">
      <w:start w:val="1"/>
      <w:numFmt w:val="bullet"/>
      <w:lvlText w:val="○"/>
      <w:lvlJc w:val="left"/>
      <w:pPr>
        <w:ind w:left="1440" w:hanging="360"/>
      </w:pPr>
    </w:lvl>
    <w:lvl w:ilvl="2" w:tplc="9B4088E0">
      <w:start w:val="1"/>
      <w:numFmt w:val="bullet"/>
      <w:lvlText w:val="■"/>
      <w:lvlJc w:val="left"/>
      <w:pPr>
        <w:ind w:left="2160" w:hanging="360"/>
      </w:pPr>
    </w:lvl>
    <w:lvl w:ilvl="3" w:tplc="9078B206">
      <w:start w:val="1"/>
      <w:numFmt w:val="bullet"/>
      <w:lvlText w:val="●"/>
      <w:lvlJc w:val="left"/>
      <w:pPr>
        <w:ind w:left="2880" w:hanging="360"/>
      </w:pPr>
    </w:lvl>
    <w:lvl w:ilvl="4" w:tplc="0CC42C64">
      <w:start w:val="1"/>
      <w:numFmt w:val="bullet"/>
      <w:lvlText w:val="○"/>
      <w:lvlJc w:val="left"/>
      <w:pPr>
        <w:ind w:left="3600" w:hanging="360"/>
      </w:pPr>
    </w:lvl>
    <w:lvl w:ilvl="5" w:tplc="6658CC7A">
      <w:start w:val="1"/>
      <w:numFmt w:val="bullet"/>
      <w:lvlText w:val="■"/>
      <w:lvlJc w:val="left"/>
      <w:pPr>
        <w:ind w:left="4320" w:hanging="360"/>
      </w:pPr>
    </w:lvl>
    <w:lvl w:ilvl="6" w:tplc="D7D6B8A0">
      <w:start w:val="1"/>
      <w:numFmt w:val="bullet"/>
      <w:lvlText w:val="●"/>
      <w:lvlJc w:val="left"/>
      <w:pPr>
        <w:ind w:left="5040" w:hanging="360"/>
      </w:pPr>
    </w:lvl>
    <w:lvl w:ilvl="7" w:tplc="7BFCD52E">
      <w:start w:val="1"/>
      <w:numFmt w:val="bullet"/>
      <w:lvlText w:val="●"/>
      <w:lvlJc w:val="left"/>
      <w:pPr>
        <w:ind w:left="5760" w:hanging="360"/>
      </w:pPr>
    </w:lvl>
    <w:lvl w:ilvl="8" w:tplc="CB7878AE">
      <w:start w:val="1"/>
      <w:numFmt w:val="bullet"/>
      <w:lvlText w:val="●"/>
      <w:lvlJc w:val="left"/>
      <w:pPr>
        <w:ind w:left="6480" w:hanging="360"/>
      </w:pPr>
    </w:lvl>
  </w:abstractNum>
  <w:abstractNum w:abstractNumId="2" w15:restartNumberingAfterBreak="0">
    <w:nsid w:val="656A5DA6"/>
    <w:multiLevelType w:val="hybridMultilevel"/>
    <w:tmpl w:val="CD746CC0"/>
    <w:lvl w:ilvl="0" w:tplc="8FCE4566">
      <w:start w:val="1"/>
      <w:numFmt w:val="bullet"/>
      <w:lvlText w:val="•"/>
      <w:lvlJc w:val="left"/>
      <w:pPr>
        <w:ind w:left="540" w:hanging="280"/>
      </w:pPr>
    </w:lvl>
    <w:lvl w:ilvl="1" w:tplc="AB00A9C6">
      <w:numFmt w:val="decimal"/>
      <w:lvlText w:val=""/>
      <w:lvlJc w:val="left"/>
    </w:lvl>
    <w:lvl w:ilvl="2" w:tplc="ABC414EE">
      <w:numFmt w:val="decimal"/>
      <w:lvlText w:val=""/>
      <w:lvlJc w:val="left"/>
    </w:lvl>
    <w:lvl w:ilvl="3" w:tplc="3DEC045C">
      <w:numFmt w:val="decimal"/>
      <w:lvlText w:val=""/>
      <w:lvlJc w:val="left"/>
    </w:lvl>
    <w:lvl w:ilvl="4" w:tplc="7736C588">
      <w:numFmt w:val="decimal"/>
      <w:lvlText w:val=""/>
      <w:lvlJc w:val="left"/>
    </w:lvl>
    <w:lvl w:ilvl="5" w:tplc="71625F50">
      <w:numFmt w:val="decimal"/>
      <w:lvlText w:val=""/>
      <w:lvlJc w:val="left"/>
    </w:lvl>
    <w:lvl w:ilvl="6" w:tplc="F63C18E4">
      <w:numFmt w:val="decimal"/>
      <w:lvlText w:val=""/>
      <w:lvlJc w:val="left"/>
    </w:lvl>
    <w:lvl w:ilvl="7" w:tplc="2764A58A">
      <w:numFmt w:val="decimal"/>
      <w:lvlText w:val=""/>
      <w:lvlJc w:val="left"/>
    </w:lvl>
    <w:lvl w:ilvl="8" w:tplc="2F40F588">
      <w:numFmt w:val="decimal"/>
      <w:lvlText w:val=""/>
      <w:lvlJc w:val="left"/>
    </w:lvl>
  </w:abstractNum>
  <w:num w:numId="1" w16cid:durableId="1103764142">
    <w:abstractNumId w:val="1"/>
    <w:lvlOverride w:ilvl="0">
      <w:startOverride w:val="1"/>
    </w:lvlOverride>
  </w:num>
  <w:num w:numId="2" w16cid:durableId="555746430">
    <w:abstractNumId w:val="0"/>
    <w:lvlOverride w:ilvl="0">
      <w:startOverride w:val="1"/>
    </w:lvlOverride>
  </w:num>
  <w:num w:numId="3" w16cid:durableId="132089140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98B"/>
    <w:rsid w:val="00533392"/>
    <w:rsid w:val="0073298B"/>
    <w:rsid w:val="00856786"/>
    <w:rsid w:val="00BF3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E9F8A"/>
  <w15:docId w15:val="{EA9DDBAE-F73E-428F-9998-5EA939ECE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B57"/>
      <w:sz w:val="30"/>
      <w:szCs w:val="30"/>
    </w:rPr>
  </w:style>
  <w:style w:type="paragraph" w:styleId="Heading2">
    <w:name w:val="heading 2"/>
    <w:uiPriority w:val="9"/>
    <w:unhideWhenUsed/>
    <w:qFormat/>
    <w:pPr>
      <w:spacing w:before="220" w:after="90"/>
      <w:outlineLvl w:val="1"/>
    </w:pPr>
    <w:rPr>
      <w:b/>
      <w:bCs/>
      <w:color w:val="2E5A7D"/>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1313</Words>
  <Characters>7486</Characters>
  <Application>Microsoft Office Word</Application>
  <DocSecurity>0</DocSecurity>
  <Lines>62</Lines>
  <Paragraphs>17</Paragraphs>
  <ScaleCrop>false</ScaleCrop>
  <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Acceptance &amp; Sign-Off — Point History Consolidation</dc:title>
  <dc:creator>Nik</dc:creator>
  <dc:description>Point &amp; liability movement on CID merge</dc:description>
  <cp:lastModifiedBy>Adhaduk, Nik</cp:lastModifiedBy>
  <cp:revision>2</cp:revision>
  <dcterms:created xsi:type="dcterms:W3CDTF">2026-06-18T19:42:00Z</dcterms:created>
  <dcterms:modified xsi:type="dcterms:W3CDTF">2026-06-18T21:53:00Z</dcterms:modified>
</cp:coreProperties>
</file>