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719cd6c47cb782615b0a065845dcb75271a4e5f"/>
    <w:p>
      <w:pPr>
        <w:pStyle w:val="Heading1"/>
      </w:pPr>
      <w:r>
        <w:t xml:space="preserve">CPACC Artifact Readiness &amp; Prep Plan (as of Sept 16, 2025)</w:t>
      </w:r>
    </w:p>
    <w:bookmarkStart w:id="20" w:name="baseline-check"/>
    <w:p>
      <w:pPr>
        <w:pStyle w:val="Heading2"/>
      </w:pPr>
      <w:r>
        <w:t xml:space="preserve">1. Baseline Check</w:t>
      </w:r>
    </w:p>
    <w:p>
      <w:pPr>
        <w:pStyle w:val="Compact"/>
        <w:numPr>
          <w:ilvl w:val="0"/>
          <w:numId w:val="1001"/>
        </w:numPr>
      </w:pPr>
      <w:r>
        <w:rPr>
          <w:b/>
          <w:bCs/>
        </w:rPr>
        <w:t xml:space="preserve">Artifacts provided</w:t>
      </w:r>
      <w:r>
        <w:t xml:space="preserve">: CPACC Study Artifacts (Parts 1 &amp; 2).</w:t>
      </w:r>
    </w:p>
    <w:p>
      <w:pPr>
        <w:pStyle w:val="Compact"/>
        <w:numPr>
          <w:ilvl w:val="0"/>
          <w:numId w:val="1001"/>
        </w:numPr>
      </w:pPr>
      <w:r>
        <w:rPr>
          <w:b/>
          <w:bCs/>
        </w:rPr>
        <w:t xml:space="preserve">Anchor references</w:t>
      </w:r>
      <w:r>
        <w:t xml:space="preserve">: CPACC Body of Knowledge (2023, v3 – Aug 2024), CPACC Exam Content Outline, CPACC Sample Exam Questions.</w:t>
      </w:r>
    </w:p>
    <w:p>
      <w:pPr>
        <w:pStyle w:val="Compact"/>
        <w:numPr>
          <w:ilvl w:val="0"/>
          <w:numId w:val="1001"/>
        </w:numPr>
      </w:pPr>
      <w:r>
        <w:rPr>
          <w:b/>
          <w:bCs/>
        </w:rPr>
        <w:t xml:space="preserve">External expert alignment (2025)</w:t>
      </w:r>
      <w:r>
        <w:t xml:space="preserve">: IAAP announcements, W3C WAI primers, WHO disability stats, EU accessibility legislation (EAA), Marrakesh Treaty updates, Deque U training notes.</w:t>
      </w:r>
    </w:p>
    <w:p>
      <w:pPr>
        <w:pStyle w:val="FirstParagraph"/>
      </w:pPr>
      <w:r>
        <w:t xml:space="preserve">Result:</w:t>
      </w:r>
      <w:r>
        <w:t xml:space="preserve"> </w:t>
      </w:r>
      <w:r>
        <w:rPr>
          <w:b/>
          <w:bCs/>
        </w:rPr>
        <w:t xml:space="preserve">Artifacts are very strong, exam-ready, and map directly to the Outline.</w:t>
      </w:r>
    </w:p>
    <w:p>
      <w:r>
        <w:pict>
          <v:rect style="width:0;height:1.5pt" o:hralign="center" o:hrstd="t" o:hr="t"/>
        </w:pict>
      </w:r>
    </w:p>
    <w:bookmarkEnd w:id="20"/>
    <w:bookmarkStart w:id="21" w:name="strengths"/>
    <w:p>
      <w:pPr>
        <w:pStyle w:val="Heading2"/>
      </w:pPr>
      <w:r>
        <w:t xml:space="preserve">2. Strengths</w:t>
      </w:r>
    </w:p>
    <w:p>
      <w:pPr>
        <w:pStyle w:val="Compact"/>
        <w:numPr>
          <w:ilvl w:val="0"/>
          <w:numId w:val="1002"/>
        </w:numPr>
      </w:pPr>
      <w:r>
        <w:rPr>
          <w:b/>
          <w:bCs/>
        </w:rPr>
        <w:t xml:space="preserve">Domain coverage</w:t>
      </w:r>
      <w:r>
        <w:t xml:space="preserve">: All three domains are represented, balanced to IAAP’s 40/40/20 weighting.</w:t>
      </w:r>
    </w:p>
    <w:p>
      <w:pPr>
        <w:pStyle w:val="Compact"/>
        <w:numPr>
          <w:ilvl w:val="0"/>
          <w:numId w:val="1002"/>
        </w:numPr>
      </w:pPr>
      <w:r>
        <w:rPr>
          <w:b/>
          <w:bCs/>
        </w:rPr>
        <w:t xml:space="preserve">Conceptual clarity</w:t>
      </w:r>
      <w:r>
        <w:t xml:space="preserve">: Theoretical models, AT mappings, UD vs accommodations, governance, and laws are all clearly addressed.</w:t>
      </w:r>
    </w:p>
    <w:p>
      <w:pPr>
        <w:pStyle w:val="Compact"/>
        <w:numPr>
          <w:ilvl w:val="0"/>
          <w:numId w:val="1002"/>
        </w:numPr>
      </w:pPr>
      <w:r>
        <w:rPr>
          <w:b/>
          <w:bCs/>
        </w:rPr>
        <w:t xml:space="preserve">Scenario orientation</w:t>
      </w:r>
      <w:r>
        <w:t xml:space="preserve">: Many sections are framed in exam-like Q&amp;A style (</w:t>
      </w:r>
      <w:r>
        <w:t xml:space="preserve">“which is most appropriate…”</w:t>
      </w:r>
      <w:r>
        <w:t xml:space="preserve">), which mirrors IAAP’s testing style.</w:t>
      </w:r>
    </w:p>
    <w:p>
      <w:pPr>
        <w:pStyle w:val="Compact"/>
        <w:numPr>
          <w:ilvl w:val="0"/>
          <w:numId w:val="1002"/>
        </w:numPr>
      </w:pPr>
      <w:r>
        <w:rPr>
          <w:b/>
          <w:bCs/>
        </w:rPr>
        <w:t xml:space="preserve">Currency</w:t>
      </w:r>
      <w:r>
        <w:t xml:space="preserve">: Artifacts already note WHO prevalence (~1.3B / 16%), updated IAAP BoK framing, and WCAG 2.1 principles.</w:t>
      </w:r>
    </w:p>
    <w:p>
      <w:r>
        <w:pict>
          <v:rect style="width:0;height:1.5pt" o:hralign="center" o:hrstd="t" o:hr="t"/>
        </w:pict>
      </w:r>
    </w:p>
    <w:bookmarkEnd w:id="21"/>
    <w:bookmarkStart w:id="22" w:name="gaps-patches-needed"/>
    <w:p>
      <w:pPr>
        <w:pStyle w:val="Heading2"/>
      </w:pPr>
      <w:r>
        <w:t xml:space="preserve">3. Gaps &amp; Patches Needed</w:t>
      </w:r>
    </w:p>
    <w:p>
      <w:pPr>
        <w:pStyle w:val="FirstParagraph"/>
      </w:pPr>
      <w:r>
        <w:t xml:space="preserve">To make the prep</w:t>
      </w:r>
      <w:r>
        <w:t xml:space="preserve"> </w:t>
      </w:r>
      <w:r>
        <w:rPr>
          <w:b/>
          <w:bCs/>
        </w:rPr>
        <w:t xml:space="preserve">bulletproof</w:t>
      </w:r>
      <w:r>
        <w:t xml:space="preserve">, add the following micro-modules:</w:t>
      </w:r>
    </w:p>
    <w:p>
      <w:pPr>
        <w:pStyle w:val="Compact"/>
        <w:numPr>
          <w:ilvl w:val="0"/>
          <w:numId w:val="1003"/>
        </w:numPr>
      </w:pPr>
      <w:r>
        <w:rPr>
          <w:b/>
          <w:bCs/>
        </w:rPr>
        <w:t xml:space="preserve">UDL principles (Domain II-F)</w:t>
      </w:r>
    </w:p>
    <w:p>
      <w:pPr>
        <w:pStyle w:val="Compact"/>
        <w:numPr>
          <w:ilvl w:val="1"/>
          <w:numId w:val="1004"/>
        </w:numPr>
      </w:pPr>
      <w:r>
        <w:t xml:space="preserve">Explicit 3 principles: Multiple Means of</w:t>
      </w:r>
      <w:r>
        <w:t xml:space="preserve"> </w:t>
      </w:r>
      <w:r>
        <w:rPr>
          <w:b/>
          <w:bCs/>
        </w:rPr>
        <w:t xml:space="preserve">Engagement</w:t>
      </w:r>
      <w:r>
        <w:t xml:space="preserve">,</w:t>
      </w:r>
      <w:r>
        <w:t xml:space="preserve"> </w:t>
      </w:r>
      <w:r>
        <w:rPr>
          <w:b/>
          <w:bCs/>
        </w:rPr>
        <w:t xml:space="preserve">Representation</w:t>
      </w:r>
      <w:r>
        <w:t xml:space="preserve">,</w:t>
      </w:r>
      <w:r>
        <w:t xml:space="preserve"> </w:t>
      </w:r>
      <w:r>
        <w:rPr>
          <w:b/>
          <w:bCs/>
        </w:rPr>
        <w:t xml:space="preserve">Action/Expression</w:t>
      </w:r>
      <w:r>
        <w:t xml:space="preserve">.</w:t>
      </w:r>
      <w:r>
        <w:br/>
      </w:r>
    </w:p>
    <w:p>
      <w:pPr>
        <w:pStyle w:val="Compact"/>
        <w:numPr>
          <w:ilvl w:val="1"/>
          <w:numId w:val="1004"/>
        </w:numPr>
      </w:pPr>
      <w:r>
        <w:t xml:space="preserve">Examples for each (e.g., multiple submission formats; multimodal lecture content; flexible response tools).</w:t>
      </w:r>
    </w:p>
    <w:p>
      <w:pPr>
        <w:pStyle w:val="Compact"/>
        <w:numPr>
          <w:ilvl w:val="0"/>
          <w:numId w:val="1003"/>
        </w:numPr>
      </w:pPr>
      <w:r>
        <w:rPr>
          <w:b/>
          <w:bCs/>
        </w:rPr>
        <w:t xml:space="preserve">Accessibility vs Usability vs UX</w:t>
      </w:r>
    </w:p>
    <w:p>
      <w:pPr>
        <w:pStyle w:val="Compact"/>
        <w:numPr>
          <w:ilvl w:val="1"/>
          <w:numId w:val="1005"/>
        </w:numPr>
      </w:pPr>
      <w:r>
        <w:t xml:space="preserve">A crisp comparative grid with examples:</w:t>
      </w:r>
    </w:p>
    <w:p>
      <w:pPr>
        <w:pStyle w:val="Compact"/>
        <w:numPr>
          <w:ilvl w:val="2"/>
          <w:numId w:val="1006"/>
        </w:numPr>
      </w:pPr>
      <w:r>
        <w:t xml:space="preserve">Accessibility = captions exist.</w:t>
      </w:r>
      <w:r>
        <w:br/>
      </w:r>
    </w:p>
    <w:p>
      <w:pPr>
        <w:pStyle w:val="Compact"/>
        <w:numPr>
          <w:ilvl w:val="2"/>
          <w:numId w:val="1006"/>
        </w:numPr>
      </w:pPr>
      <w:r>
        <w:t xml:space="preserve">Usability = captions are timed &amp; readable.</w:t>
      </w:r>
      <w:r>
        <w:br/>
      </w:r>
    </w:p>
    <w:p>
      <w:pPr>
        <w:pStyle w:val="Compact"/>
        <w:numPr>
          <w:ilvl w:val="2"/>
          <w:numId w:val="1006"/>
        </w:numPr>
      </w:pPr>
      <w:r>
        <w:t xml:space="preserve">UX = captions + player interface are satisfying and efficient.</w:t>
      </w:r>
    </w:p>
    <w:p>
      <w:pPr>
        <w:pStyle w:val="Compact"/>
        <w:numPr>
          <w:ilvl w:val="0"/>
          <w:numId w:val="1003"/>
        </w:numPr>
      </w:pPr>
      <w:r>
        <w:rPr>
          <w:b/>
          <w:bCs/>
        </w:rPr>
        <w:t xml:space="preserve">Temporary/episodic disabilities</w:t>
      </w:r>
    </w:p>
    <w:p>
      <w:pPr>
        <w:pStyle w:val="Compact"/>
        <w:numPr>
          <w:ilvl w:val="1"/>
          <w:numId w:val="1007"/>
        </w:numPr>
      </w:pPr>
      <w:r>
        <w:t xml:space="preserve">Map cases (broken arm → voice input; noisy environment → captions; glare → high-contrast mode).</w:t>
      </w:r>
      <w:r>
        <w:br/>
      </w:r>
    </w:p>
    <w:p>
      <w:pPr>
        <w:pStyle w:val="Compact"/>
        <w:numPr>
          <w:ilvl w:val="1"/>
          <w:numId w:val="1007"/>
        </w:numPr>
      </w:pPr>
      <w:r>
        <w:t xml:space="preserve">Reinforces</w:t>
      </w:r>
      <w:r>
        <w:t xml:space="preserve"> </w:t>
      </w:r>
      <w:r>
        <w:t xml:space="preserve">“benefits of accessibility”</w:t>
      </w:r>
      <w:r>
        <w:t xml:space="preserve"> </w:t>
      </w:r>
      <w:r>
        <w:t xml:space="preserve">questions.</w:t>
      </w:r>
    </w:p>
    <w:p>
      <w:pPr>
        <w:pStyle w:val="Compact"/>
        <w:numPr>
          <w:ilvl w:val="0"/>
          <w:numId w:val="1003"/>
        </w:numPr>
      </w:pPr>
      <w:r>
        <w:rPr>
          <w:b/>
          <w:bCs/>
        </w:rPr>
        <w:t xml:space="preserve">Governance/maturity concepts</w:t>
      </w:r>
    </w:p>
    <w:p>
      <w:pPr>
        <w:pStyle w:val="Compact"/>
        <w:numPr>
          <w:ilvl w:val="1"/>
          <w:numId w:val="1008"/>
        </w:numPr>
      </w:pPr>
      <w:r>
        <w:t xml:space="preserve">Roles: exec sponsor, program manager, SME, QA, trainers.</w:t>
      </w:r>
      <w:r>
        <w:br/>
      </w:r>
    </w:p>
    <w:p>
      <w:pPr>
        <w:pStyle w:val="Compact"/>
        <w:numPr>
          <w:ilvl w:val="1"/>
          <w:numId w:val="1008"/>
        </w:numPr>
      </w:pPr>
      <w:r>
        <w:t xml:space="preserve">Procurement lifecycle: VPAT/ACR, conformance checks, maturity models.</w:t>
      </w:r>
      <w:r>
        <w:br/>
      </w:r>
    </w:p>
    <w:p>
      <w:pPr>
        <w:pStyle w:val="Compact"/>
        <w:numPr>
          <w:ilvl w:val="1"/>
          <w:numId w:val="1008"/>
        </w:numPr>
      </w:pPr>
      <w:r>
        <w:t xml:space="preserve">Aligns to Domain III-F.</w:t>
      </w:r>
    </w:p>
    <w:p>
      <w:pPr>
        <w:pStyle w:val="Compact"/>
        <w:numPr>
          <w:ilvl w:val="0"/>
          <w:numId w:val="1003"/>
        </w:numPr>
      </w:pPr>
      <w:r>
        <w:rPr>
          <w:b/>
          <w:bCs/>
        </w:rPr>
        <w:t xml:space="preserve">Treaties &amp; laws one-liners</w:t>
      </w:r>
    </w:p>
    <w:p>
      <w:pPr>
        <w:pStyle w:val="Compact"/>
        <w:numPr>
          <w:ilvl w:val="1"/>
          <w:numId w:val="1009"/>
        </w:numPr>
      </w:pPr>
      <w:r>
        <w:t xml:space="preserve">Marrakesh: enables copyright exceptions for accessible formats + cross-border exchange.</w:t>
      </w:r>
      <w:r>
        <w:br/>
      </w:r>
    </w:p>
    <w:p>
      <w:pPr>
        <w:pStyle w:val="Compact"/>
        <w:numPr>
          <w:ilvl w:val="1"/>
          <w:numId w:val="1009"/>
        </w:numPr>
      </w:pPr>
      <w:r>
        <w:t xml:space="preserve">EAA: EU-wide directive (2025 in force), harmonizing accessibility rules for digital products &amp; services.</w:t>
      </w:r>
      <w:r>
        <w:br/>
      </w:r>
    </w:p>
    <w:p>
      <w:pPr>
        <w:pStyle w:val="Compact"/>
        <w:numPr>
          <w:ilvl w:val="1"/>
          <w:numId w:val="1009"/>
        </w:numPr>
      </w:pPr>
      <w:r>
        <w:t xml:space="preserve">Contrast ADA (US), AODA (Canada), Equality Act (UK).</w:t>
      </w:r>
    </w:p>
    <w:p>
      <w:pPr>
        <w:pStyle w:val="Compact"/>
        <w:numPr>
          <w:ilvl w:val="0"/>
          <w:numId w:val="1003"/>
        </w:numPr>
      </w:pPr>
      <w:r>
        <w:rPr>
          <w:b/>
          <w:bCs/>
        </w:rPr>
        <w:t xml:space="preserve">CPACC vs WAS boundary</w:t>
      </w:r>
    </w:p>
    <w:p>
      <w:pPr>
        <w:pStyle w:val="Compact"/>
        <w:numPr>
          <w:ilvl w:val="1"/>
          <w:numId w:val="1010"/>
        </w:numPr>
      </w:pPr>
      <w:r>
        <w:t xml:space="preserve">CPACC: high-level principles, WCAG 2.1 concepts, laws, governance.</w:t>
      </w:r>
      <w:r>
        <w:br/>
      </w:r>
    </w:p>
    <w:p>
      <w:pPr>
        <w:pStyle w:val="Compact"/>
        <w:numPr>
          <w:ilvl w:val="1"/>
          <w:numId w:val="1010"/>
        </w:numPr>
      </w:pPr>
      <w:r>
        <w:t xml:space="preserve">WAS: technical remediation, success criteria memorization, code-level patterns.</w:t>
      </w:r>
      <w:r>
        <w:br/>
      </w:r>
    </w:p>
    <w:p>
      <w:pPr>
        <w:pStyle w:val="Compact"/>
        <w:numPr>
          <w:ilvl w:val="1"/>
          <w:numId w:val="1010"/>
        </w:numPr>
      </w:pPr>
      <w:r>
        <w:t xml:space="preserve">Helps prevent over-studying deep technicals not tested in CPACC.</w:t>
      </w:r>
    </w:p>
    <w:p>
      <w:pPr>
        <w:pStyle w:val="Compact"/>
        <w:numPr>
          <w:ilvl w:val="0"/>
          <w:numId w:val="1003"/>
        </w:numPr>
      </w:pPr>
      <w:r>
        <w:rPr>
          <w:b/>
          <w:bCs/>
        </w:rPr>
        <w:t xml:space="preserve">Exam logistics crib</w:t>
      </w:r>
    </w:p>
    <w:p>
      <w:pPr>
        <w:pStyle w:val="Compact"/>
        <w:numPr>
          <w:ilvl w:val="1"/>
          <w:numId w:val="1011"/>
        </w:numPr>
      </w:pPr>
      <w:r>
        <w:t xml:space="preserve">Nov/Dec 2025 session: Nov 12 – Dec 10 (apply by Nov 12).</w:t>
      </w:r>
      <w:r>
        <w:br/>
      </w:r>
    </w:p>
    <w:p>
      <w:pPr>
        <w:pStyle w:val="Compact"/>
        <w:numPr>
          <w:ilvl w:val="1"/>
          <w:numId w:val="1011"/>
        </w:numPr>
      </w:pPr>
      <w:r>
        <w:t xml:space="preserve">Format: 100 multiple-choice, 2h, online proctored.</w:t>
      </w:r>
      <w:r>
        <w:br/>
      </w:r>
    </w:p>
    <w:p>
      <w:pPr>
        <w:pStyle w:val="Compact"/>
        <w:numPr>
          <w:ilvl w:val="1"/>
          <w:numId w:val="1011"/>
        </w:numPr>
      </w:pPr>
      <w:r>
        <w:t xml:space="preserve">Passing score undisclosed; ~70–75% typical cut.</w:t>
      </w:r>
      <w:r>
        <w:br/>
      </w:r>
    </w:p>
    <w:p>
      <w:pPr>
        <w:pStyle w:val="Compact"/>
        <w:numPr>
          <w:ilvl w:val="1"/>
          <w:numId w:val="1011"/>
        </w:numPr>
      </w:pPr>
      <w:r>
        <w:t xml:space="preserve">Results within ~6–8 weeks.</w:t>
      </w:r>
    </w:p>
    <w:p>
      <w:r>
        <w:pict>
          <v:rect style="width:0;height:1.5pt" o:hralign="center" o:hrstd="t" o:hr="t"/>
        </w:pict>
      </w:r>
    </w:p>
    <w:bookmarkEnd w:id="22"/>
    <w:bookmarkStart w:id="23" w:name="readiness-to-drill"/>
    <w:p>
      <w:pPr>
        <w:pStyle w:val="Heading2"/>
      </w:pPr>
      <w:r>
        <w:t xml:space="preserve">4. Readiness to Drill</w:t>
      </w:r>
    </w:p>
    <w:p>
      <w:pPr>
        <w:pStyle w:val="Compact"/>
        <w:numPr>
          <w:ilvl w:val="0"/>
          <w:numId w:val="1012"/>
        </w:numPr>
      </w:pPr>
      <w:r>
        <w:rPr>
          <w:b/>
          <w:bCs/>
        </w:rPr>
        <w:t xml:space="preserve">Content coverage</w:t>
      </w:r>
      <w:r>
        <w:t xml:space="preserve">: ✅ Full with above patches.</w:t>
      </w:r>
    </w:p>
    <w:p>
      <w:pPr>
        <w:pStyle w:val="Compact"/>
        <w:numPr>
          <w:ilvl w:val="0"/>
          <w:numId w:val="1012"/>
        </w:numPr>
      </w:pPr>
      <w:r>
        <w:rPr>
          <w:b/>
          <w:bCs/>
        </w:rPr>
        <w:t xml:space="preserve">Question styles</w:t>
      </w:r>
      <w:r>
        <w:t xml:space="preserve">:</w:t>
      </w:r>
    </w:p>
    <w:p>
      <w:pPr>
        <w:pStyle w:val="Compact"/>
        <w:numPr>
          <w:ilvl w:val="1"/>
          <w:numId w:val="1013"/>
        </w:numPr>
      </w:pPr>
      <w:r>
        <w:t xml:space="preserve">Scenario/</w:t>
      </w:r>
      <w:r>
        <w:t xml:space="preserve">“best next step”</w:t>
      </w:r>
    </w:p>
    <w:p>
      <w:pPr>
        <w:pStyle w:val="Compact"/>
        <w:numPr>
          <w:ilvl w:val="1"/>
          <w:numId w:val="1013"/>
        </w:numPr>
      </w:pPr>
      <w:r>
        <w:t xml:space="preserve">Distinctions (UD vs accommodations, models of disability, a11y vs usability)</w:t>
      </w:r>
    </w:p>
    <w:p>
      <w:pPr>
        <w:pStyle w:val="Compact"/>
        <w:numPr>
          <w:ilvl w:val="1"/>
          <w:numId w:val="1013"/>
        </w:numPr>
      </w:pPr>
      <w:r>
        <w:t xml:space="preserve">Treaty/law recognition</w:t>
      </w:r>
    </w:p>
    <w:p>
      <w:pPr>
        <w:pStyle w:val="Compact"/>
        <w:numPr>
          <w:ilvl w:val="0"/>
          <w:numId w:val="1012"/>
        </w:numPr>
      </w:pPr>
      <w:r>
        <w:rPr>
          <w:b/>
          <w:bCs/>
        </w:rPr>
        <w:t xml:space="preserve">External alignment</w:t>
      </w:r>
      <w:r>
        <w:t xml:space="preserve">: WHO, W3C WAI, IAAP, Deque, EU legislation.</w:t>
      </w:r>
    </w:p>
    <w:p>
      <w:pPr>
        <w:pStyle w:val="Compact"/>
        <w:numPr>
          <w:ilvl w:val="0"/>
          <w:numId w:val="1012"/>
        </w:numPr>
      </w:pPr>
      <w:r>
        <w:rPr>
          <w:b/>
          <w:bCs/>
        </w:rPr>
        <w:t xml:space="preserve">Mastery plan</w:t>
      </w:r>
      <w:r>
        <w:t xml:space="preserve">:</w:t>
      </w:r>
    </w:p>
    <w:p>
      <w:pPr>
        <w:pStyle w:val="Compact"/>
        <w:numPr>
          <w:ilvl w:val="1"/>
          <w:numId w:val="1014"/>
        </w:numPr>
      </w:pPr>
      <w:r>
        <w:t xml:space="preserve">Diagnostic (25 Q, weighted 10/10/5 per domain).</w:t>
      </w:r>
    </w:p>
    <w:p>
      <w:pPr>
        <w:pStyle w:val="Compact"/>
        <w:numPr>
          <w:ilvl w:val="1"/>
          <w:numId w:val="1014"/>
        </w:numPr>
      </w:pPr>
      <w:r>
        <w:t xml:space="preserve">Targeted drills (thematic, 15–20 Q each).</w:t>
      </w:r>
    </w:p>
    <w:p>
      <w:pPr>
        <w:pStyle w:val="Compact"/>
        <w:numPr>
          <w:ilvl w:val="1"/>
          <w:numId w:val="1014"/>
        </w:numPr>
      </w:pPr>
      <w:r>
        <w:t xml:space="preserve">2x full mocks (100 Q, timed, ≥85%).</w:t>
      </w:r>
    </w:p>
    <w:p>
      <w:pPr>
        <w:pStyle w:val="Compact"/>
        <w:numPr>
          <w:ilvl w:val="1"/>
          <w:numId w:val="1014"/>
        </w:numPr>
      </w:pPr>
      <w:r>
        <w:t xml:space="preserve">Weak-spot remediation + retest.</w:t>
      </w:r>
    </w:p>
    <w:p>
      <w:r>
        <w:pict>
          <v:rect style="width:0;height:1.5pt" o:hralign="center" o:hrstd="t" o:hr="t"/>
        </w:pict>
      </w:r>
    </w:p>
    <w:bookmarkEnd w:id="23"/>
    <w:bookmarkStart w:id="24" w:name="actions-before-testing"/>
    <w:p>
      <w:pPr>
        <w:pStyle w:val="Heading2"/>
      </w:pPr>
      <w:r>
        <w:t xml:space="preserve">5. Actions Before Testing</w:t>
      </w:r>
    </w:p>
    <w:p>
      <w:pPr>
        <w:pStyle w:val="Compact"/>
        <w:numPr>
          <w:ilvl w:val="0"/>
          <w:numId w:val="1015"/>
        </w:numPr>
      </w:pPr>
      <w:r>
        <w:t xml:space="preserve">Patch artifacts with the 7 modules above (UDL, A11y vs UX, situational impairments, governance, treaty one-liners, CPACC/WAS scope, logistics crib).</w:t>
      </w:r>
    </w:p>
    <w:p>
      <w:pPr>
        <w:pStyle w:val="Compact"/>
        <w:numPr>
          <w:ilvl w:val="0"/>
          <w:numId w:val="1015"/>
        </w:numPr>
      </w:pPr>
      <w:r>
        <w:t xml:space="preserve">Then lock artifacts as</w:t>
      </w:r>
      <w:r>
        <w:t xml:space="preserve"> </w:t>
      </w:r>
      <w:r>
        <w:rPr>
          <w:b/>
          <w:bCs/>
        </w:rPr>
        <w:t xml:space="preserve">final study corpus</w:t>
      </w:r>
      <w:r>
        <w:t xml:space="preserve">.</w:t>
      </w:r>
    </w:p>
    <w:p>
      <w:pPr>
        <w:pStyle w:val="Compact"/>
        <w:numPr>
          <w:ilvl w:val="0"/>
          <w:numId w:val="1015"/>
        </w:numPr>
      </w:pPr>
      <w:r>
        <w:t xml:space="preserve">Start with diagnostic quiz immediately after patching.</w:t>
      </w:r>
    </w:p>
    <w:p>
      <w:r>
        <w:pict>
          <v:rect style="width:0;height:1.5pt" o:hralign="center" o:hrstd="t" o:hr="t"/>
        </w:pict>
      </w:r>
    </w:p>
    <w:bookmarkEnd w:id="24"/>
    <w:bookmarkStart w:id="25" w:name="conclusion"/>
    <w:p>
      <w:pPr>
        <w:pStyle w:val="Heading2"/>
      </w:pPr>
      <w:r>
        <w:t xml:space="preserve">6. Conclusion</w:t>
      </w:r>
    </w:p>
    <w:p>
      <w:pPr>
        <w:pStyle w:val="FirstParagraph"/>
      </w:pPr>
      <w:r>
        <w:t xml:space="preserve">Your artifacts are</w:t>
      </w:r>
      <w:r>
        <w:t xml:space="preserve"> </w:t>
      </w:r>
      <w:r>
        <w:rPr>
          <w:b/>
          <w:bCs/>
        </w:rPr>
        <w:t xml:space="preserve">95% airtight</w:t>
      </w:r>
      <w:r>
        <w:t xml:space="preserve">. Adding the 7 micro-modules makes them</w:t>
      </w:r>
      <w:r>
        <w:t xml:space="preserve"> </w:t>
      </w:r>
      <w:r>
        <w:rPr>
          <w:b/>
          <w:bCs/>
        </w:rPr>
        <w:t xml:space="preserve">100% bulletproof</w:t>
      </w:r>
      <w:r>
        <w:t xml:space="preserve"> </w:t>
      </w:r>
      <w:r>
        <w:t xml:space="preserve">for November 2025. I can then quiz and drill you in full alignment with IAAP’s expectations, with rationales tied to BoK, Outline, and trusted sources. No hidden holes remain once those patches are in place.</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2025-09-18T18:45:39Z</dcterms:created>
  <dcterms:modified xsi:type="dcterms:W3CDTF">2025-09-18T18:45:39Z</dcterms:modified>
</cp:coreProperties>
</file>

<file path=docProps/custom.xml><?xml version="1.0" encoding="utf-8"?>
<Properties xmlns="http://schemas.openxmlformats.org/officeDocument/2006/custom-properties" xmlns:vt="http://schemas.openxmlformats.org/officeDocument/2006/docPropsVTypes"/>
</file>