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knowledge-progress-tracking"/>
    <w:p>
      <w:pPr>
        <w:pStyle w:val="Heading1"/>
      </w:pPr>
      <w:r>
        <w:t xml:space="preserve">Knowledge Progress Tracking</w:t>
      </w:r>
    </w:p>
    <w:p>
      <w:pPr>
        <w:pStyle w:val="FirstParagraph"/>
      </w:pPr>
      <w:r>
        <w:rPr>
          <w:i/>
          <w:iCs/>
        </w:rPr>
        <w:t xml:space="preserve">Last updated: now</w:t>
      </w:r>
    </w:p>
    <w:p>
      <w:pPr>
        <w:pStyle w:val="BodyText"/>
      </w:pPr>
      <w:r>
        <w:t xml:space="preserve">This document logs your CPACC quiz performance at a granular concept level so we can quantify growth, spot patterns, and target drills. Counts here reflect the current conversation. I’ll update on your signal (</w:t>
      </w:r>
      <w:r>
        <w:t xml:space="preserve">“log it”</w:t>
      </w:r>
      <w:r>
        <w:t xml:space="preserve">).</w:t>
      </w:r>
    </w:p>
    <w:p>
      <w:r>
        <w:pict>
          <v:rect style="width:0;height:1.5pt" o:hralign="center" o:hrstd="t" o:hr="t"/>
        </w:pict>
      </w:r>
    </w:p>
    <w:bookmarkStart w:id="20" w:name="unified-performance-table-this-session"/>
    <w:p>
      <w:pPr>
        <w:pStyle w:val="Heading2"/>
      </w:pPr>
      <w:r>
        <w:t xml:space="preserve">1) Unified Performance Table (this session)</w:t>
      </w:r>
    </w:p>
    <w:tbl>
      <w:tblPr>
        <w:tblStyle w:val="Table"/>
        <w:tblW w:type="pct" w:w="5000"/>
        <w:tblLayout w:type="fixed"/>
        <w:tblLook w:firstRow="1" w:lastRow="0" w:firstColumn="0" w:lastColumn="0" w:noHBand="0" w:noVBand="0" w:val="0020"/>
      </w:tblPr>
      <w:tblGrid>
        <w:gridCol w:w="2891"/>
        <w:gridCol w:w="1131"/>
        <w:gridCol w:w="1634"/>
        <w:gridCol w:w="1382"/>
        <w:gridCol w:w="880"/>
      </w:tblGrid>
      <w:tr>
        <w:trPr>
          <w:tblHeader w:val="on"/>
        </w:trPr>
        <w:tc>
          <w:tcPr/>
          <w:p>
            <w:pPr>
              <w:pStyle w:val="Compact"/>
            </w:pPr>
            <w:r>
              <w:t xml:space="preserve">Concept (Super → Sub)</w:t>
            </w:r>
          </w:p>
        </w:tc>
        <w:tc>
          <w:tcPr/>
          <w:p>
            <w:pPr>
              <w:pStyle w:val="Compact"/>
              <w:jc w:val="right"/>
            </w:pPr>
            <w:r>
              <w:t xml:space="preserve">Correct</w:t>
            </w:r>
          </w:p>
        </w:tc>
        <w:tc>
          <w:tcPr/>
          <w:p>
            <w:pPr>
              <w:pStyle w:val="Compact"/>
              <w:jc w:val="right"/>
            </w:pPr>
            <w:r>
              <w:t xml:space="preserve">Shaky (0.5)</w:t>
            </w:r>
          </w:p>
        </w:tc>
        <w:tc>
          <w:tcPr/>
          <w:p>
            <w:pPr>
              <w:pStyle w:val="Compact"/>
              <w:jc w:val="right"/>
            </w:pPr>
            <w:r>
              <w:t xml:space="preserve">Incorrect</w:t>
            </w:r>
          </w:p>
        </w:tc>
        <w:tc>
          <w:tcPr/>
          <w:p>
            <w:pPr>
              <w:pStyle w:val="Compact"/>
            </w:pPr>
            <w:r>
              <w:t xml:space="preserve">Notes</w:t>
            </w:r>
          </w:p>
        </w:tc>
      </w:tr>
      <w:tr>
        <w:tc>
          <w:tcPr/>
          <w:p>
            <w:pPr>
              <w:pStyle w:val="Compact"/>
            </w:pPr>
            <w:r>
              <w:t xml:space="preserve">UDL → Representation (formats of content)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Solid recall</w:t>
            </w:r>
          </w:p>
        </w:tc>
      </w:tr>
      <w:tr>
        <w:tc>
          <w:tcPr/>
          <w:p>
            <w:pPr>
              <w:pStyle w:val="Compact"/>
            </w:pPr>
            <w:r>
              <w:t xml:space="preserve">UDL → Action &amp; Expression (ways to demonstrate learning)</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pPr>
            <w:r>
              <w:t xml:space="preserve">Missed output vs input (Q1, 30Q drill)</w:t>
            </w:r>
          </w:p>
        </w:tc>
      </w:tr>
      <w:tr>
        <w:tc>
          <w:tcPr/>
          <w:p>
            <w:pPr>
              <w:pStyle w:val="Compact"/>
            </w:pPr>
            <w:r>
              <w:t xml:space="preserve">UDL → Engagement (example)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pPr>
            <w:r>
              <w:t xml:space="preserve">Pending scoring</w:t>
            </w:r>
          </w:p>
        </w:tc>
      </w:tr>
      <w:tr>
        <w:tc>
          <w:tcPr/>
          <w:p>
            <w:pPr>
              <w:pStyle w:val="Compact"/>
            </w:pPr>
            <w:r>
              <w:t xml:space="preserve">UDL Neuroscience → Recognition→Representation</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pPr>
            <w:r>
              <w:t xml:space="preserve">Shaky recall (Q27, 30Q drill)</w:t>
            </w:r>
          </w:p>
        </w:tc>
      </w:tr>
      <w:tr>
        <w:tc>
          <w:tcPr/>
          <w:p>
            <w:pPr>
              <w:pStyle w:val="Compact"/>
            </w:pPr>
            <w:r>
              <w:t xml:space="preserve">UDL Neuroscience → Strategic→Action &amp; Expression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pPr>
            <w:r>
              <w:t xml:space="preserve">Missed once earlier</w:t>
            </w:r>
          </w:p>
        </w:tc>
      </w:tr>
      <w:tr>
        <w:tc>
          <w:tcPr/>
          <w:p>
            <w:pPr>
              <w:pStyle w:val="Compact"/>
            </w:pPr>
            <w:r>
              <w:t xml:space="preserve">UDL Neuroscience → Affective→Engagement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UDL Examples → Representation (formats + supports)</w:t>
            </w:r>
          </w:p>
        </w:tc>
        <w:tc>
          <w:tcPr/>
          <w:p>
            <w:pPr>
              <w:pStyle w:val="Compact"/>
              <w:jc w:val="right"/>
            </w:pPr>
            <w:r>
              <w:t xml:space="preserve">1</w:t>
            </w:r>
          </w:p>
        </w:tc>
        <w:tc>
          <w:tcPr/>
          <w:p>
            <w:pPr>
              <w:pStyle w:val="Compact"/>
              <w:jc w:val="right"/>
            </w:pPr>
            <w:r>
              <w:t xml:space="preserve">0</w:t>
            </w:r>
          </w:p>
        </w:tc>
        <w:tc>
          <w:tcPr/>
          <w:p>
            <w:pPr>
              <w:pStyle w:val="Compact"/>
              <w:jc w:val="right"/>
            </w:pPr>
            <w:r>
              <w:t xml:space="preserve">2</w:t>
            </w:r>
          </w:p>
        </w:tc>
        <w:tc>
          <w:tcPr/>
          <w:p>
            <w:pPr>
              <w:pStyle w:val="Compact"/>
            </w:pPr>
            <w:r>
              <w:t xml:space="preserve">Missed Q20 (diagrams/glossaries = Representation); confused with Engagement</w:t>
            </w:r>
          </w:p>
        </w:tc>
      </w:tr>
      <w:tr>
        <w:tc>
          <w:tcPr/>
          <w:p>
            <w:pPr>
              <w:pStyle w:val="Compact"/>
            </w:pPr>
            <w:r>
              <w:t xml:space="preserve">UDL Examples → Action &amp; Expression (formats + supports)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Expanded examples added</w:t>
            </w:r>
          </w:p>
        </w:tc>
      </w:tr>
      <w:tr>
        <w:tc>
          <w:tcPr/>
          <w:p>
            <w:pPr>
              <w:pStyle w:val="Compact"/>
            </w:pPr>
            <w:r>
              <w:t xml:space="preserve">UDL Examples → Engagement (examples)</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pPr>
            <w:r>
              <w:t xml:space="preserve">Missed topic-choice vs output; missed retries/self-regulation</w:t>
            </w:r>
          </w:p>
        </w:tc>
      </w:tr>
      <w:tr>
        <w:tc>
          <w:tcPr/>
          <w:p>
            <w:pPr>
              <w:pStyle w:val="Compact"/>
            </w:pPr>
            <w:r>
              <w:t xml:space="preserve">Model → Medical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Social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Biopsychosocial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pPr>
            <w:r>
              <w:t xml:space="preserve">Missed WHO ICF question (Q5, 30Q drill)</w:t>
            </w:r>
          </w:p>
        </w:tc>
      </w:tr>
      <w:tr>
        <w:tc>
          <w:tcPr/>
          <w:p>
            <w:pPr>
              <w:pStyle w:val="Compact"/>
            </w:pPr>
            <w:r>
              <w:t xml:space="preserve">Model → Economic</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Functional Solutions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pPr>
            <w:r>
              <w:t xml:space="preserve">Terminology miss (</w:t>
            </w:r>
            <w:r>
              <w:t xml:space="preserve">“Approaches”</w:t>
            </w:r>
            <w:r>
              <w:t xml:space="preserve">) earlier</w:t>
            </w:r>
          </w:p>
        </w:tc>
      </w:tr>
      <w:tr>
        <w:tc>
          <w:tcPr/>
          <w:p>
            <w:pPr>
              <w:pStyle w:val="Compact"/>
            </w:pPr>
            <w:r>
              <w:t xml:space="preserve">Model → Social Identity/Cultural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Model → Charity/Tragedy</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pPr>
            <w:r>
              <w:t xml:space="preserve">Correct</w:t>
            </w:r>
          </w:p>
        </w:tc>
      </w:tr>
      <w:tr>
        <w:tc>
          <w:tcPr/>
          <w:p>
            <w:pPr>
              <w:pStyle w:val="Compact"/>
            </w:pPr>
            <w:r>
              <w:t xml:space="preserve">Batch 2 Quiz (10 Q)</w:t>
            </w:r>
          </w:p>
        </w:tc>
        <w:tc>
          <w:tcPr/>
          <w:p>
            <w:pPr>
              <w:pStyle w:val="Compact"/>
              <w:jc w:val="right"/>
            </w:pPr>
            <w:r>
              <w:t xml:space="preserve">9</w:t>
            </w:r>
          </w:p>
        </w:tc>
        <w:tc>
          <w:tcPr/>
          <w:p>
            <w:pPr>
              <w:pStyle w:val="Compact"/>
              <w:jc w:val="right"/>
            </w:pPr>
            <w:r>
              <w:t xml:space="preserve">2</w:t>
            </w:r>
          </w:p>
        </w:tc>
        <w:tc>
          <w:tcPr/>
          <w:p>
            <w:pPr>
              <w:pStyle w:val="Compact"/>
              <w:jc w:val="right"/>
            </w:pPr>
            <w:r>
              <w:t xml:space="preserve">0</w:t>
            </w:r>
          </w:p>
        </w:tc>
        <w:tc>
          <w:tcPr/>
          <w:p>
            <w:pPr>
              <w:pStyle w:val="Compact"/>
            </w:pPr>
            <w:r>
              <w:t xml:space="preserve">2 marked shaky (Usability, Situational)</w:t>
            </w:r>
          </w:p>
        </w:tc>
      </w:tr>
      <w:tr>
        <w:tc>
          <w:tcPr/>
          <w:p>
            <w:pPr>
              <w:pStyle w:val="Compact"/>
            </w:pPr>
            <w:r>
              <w:t xml:space="preserve">Usability vs UX Drill (10 Q)</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pPr>
            <w:r>
              <w:t xml:space="preserve">Mastered</w:t>
            </w:r>
          </w:p>
        </w:tc>
      </w:tr>
      <w:tr>
        <w:tc>
          <w:tcPr/>
          <w:p>
            <w:pPr>
              <w:pStyle w:val="Compact"/>
            </w:pPr>
            <w:r>
              <w:t xml:space="preserve">Impairment Categories Drill (10 Q)</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pPr>
            <w:r>
              <w:t xml:space="preserve">Mastered</w:t>
            </w:r>
          </w:p>
        </w:tc>
      </w:tr>
      <w:tr>
        <w:tc>
          <w:tcPr/>
          <w:p>
            <w:pPr>
              <w:pStyle w:val="Compact"/>
            </w:pPr>
            <w:r>
              <w:t xml:space="preserve">UDL Engagement Drill (10 Q)</w:t>
            </w:r>
          </w:p>
        </w:tc>
        <w:tc>
          <w:tcPr/>
          <w:p>
            <w:pPr>
              <w:pStyle w:val="Compact"/>
              <w:jc w:val="right"/>
            </w:pPr>
            <w:r>
              <w:t xml:space="preserve">8</w:t>
            </w:r>
          </w:p>
        </w:tc>
        <w:tc>
          <w:tcPr/>
          <w:p>
            <w:pPr>
              <w:pStyle w:val="Compact"/>
              <w:jc w:val="right"/>
            </w:pPr>
            <w:r>
              <w:t xml:space="preserve">0</w:t>
            </w:r>
          </w:p>
        </w:tc>
        <w:tc>
          <w:tcPr/>
          <w:p>
            <w:pPr>
              <w:pStyle w:val="Compact"/>
              <w:jc w:val="right"/>
            </w:pPr>
            <w:r>
              <w:t xml:space="preserve">2</w:t>
            </w:r>
          </w:p>
        </w:tc>
        <w:tc>
          <w:tcPr/>
          <w:p>
            <w:pPr>
              <w:pStyle w:val="Compact"/>
            </w:pPr>
            <w:r>
              <w:t xml:space="preserve">Missed Q1 (output vs topic choice); Q4 (retries = Engagement)</w:t>
            </w:r>
          </w:p>
        </w:tc>
      </w:tr>
      <w:tr>
        <w:tc>
          <w:tcPr/>
          <w:p>
            <w:pPr>
              <w:pStyle w:val="Compact"/>
            </w:pPr>
            <w:r>
              <w:t xml:space="preserve">30Q Mixed Weakness Drill</w:t>
            </w:r>
          </w:p>
        </w:tc>
        <w:tc>
          <w:tcPr/>
          <w:p>
            <w:pPr>
              <w:pStyle w:val="Compact"/>
              <w:jc w:val="right"/>
            </w:pPr>
            <w:r>
              <w:t xml:space="preserve">26</w:t>
            </w:r>
          </w:p>
        </w:tc>
        <w:tc>
          <w:tcPr/>
          <w:p>
            <w:pPr>
              <w:pStyle w:val="Compact"/>
              <w:jc w:val="right"/>
            </w:pPr>
            <w:r>
              <w:t xml:space="preserve">2</w:t>
            </w:r>
          </w:p>
        </w:tc>
        <w:tc>
          <w:tcPr/>
          <w:p>
            <w:pPr>
              <w:pStyle w:val="Compact"/>
              <w:jc w:val="right"/>
            </w:pPr>
            <w:r>
              <w:t xml:space="preserve">4</w:t>
            </w:r>
          </w:p>
        </w:tc>
        <w:tc>
          <w:tcPr/>
          <w:p>
            <w:pPr>
              <w:pStyle w:val="Compact"/>
            </w:pPr>
            <w:r>
              <w:t xml:space="preserve">Shaky on EAA (Q21) + Recognition (Q27); Missed Q1, Q5, Q9, Q20</w:t>
            </w:r>
          </w:p>
        </w:tc>
      </w:tr>
      <w:tr>
        <w:tc>
          <w:tcPr/>
          <w:p>
            <w:pPr>
              <w:pStyle w:val="Compact"/>
            </w:pPr>
            <w:r>
              <w:t xml:space="preserve">Laws Quiz (20 Q: CRPD, Marrakesh, EAA, Equality Act)</w:t>
            </w:r>
          </w:p>
        </w:tc>
        <w:tc>
          <w:tcPr/>
          <w:p>
            <w:pPr>
              <w:pStyle w:val="Compact"/>
              <w:jc w:val="right"/>
            </w:pPr>
            <w:r>
              <w:t xml:space="preserve">12</w:t>
            </w:r>
          </w:p>
        </w:tc>
        <w:tc>
          <w:tcPr/>
          <w:p>
            <w:pPr>
              <w:pStyle w:val="Compact"/>
              <w:jc w:val="right"/>
            </w:pPr>
            <w:r>
              <w:t xml:space="preserve">1</w:t>
            </w:r>
          </w:p>
        </w:tc>
        <w:tc>
          <w:tcPr/>
          <w:p>
            <w:pPr>
              <w:pStyle w:val="Compact"/>
              <w:jc w:val="right"/>
            </w:pPr>
            <w:r>
              <w:t xml:space="preserve">7</w:t>
            </w:r>
          </w:p>
        </w:tc>
        <w:tc>
          <w:tcPr/>
          <w:p>
            <w:pPr>
              <w:pStyle w:val="Compact"/>
            </w:pPr>
            <w:r>
              <w:t xml:space="preserve">Weak on EAA details (year, compliance, scope, exam cues); shaky CRPD cues; missed Equality Act exam cue; EAA vs AODA comparison</w:t>
            </w:r>
          </w:p>
        </w:tc>
      </w:tr>
    </w:tbl>
    <w:p>
      <w:r>
        <w:pict>
          <v:rect style="width:0;height:1.5pt" o:hralign="center" o:hrstd="t" o:hr="t"/>
        </w:pict>
      </w:r>
    </w:p>
    <w:bookmarkEnd w:id="20"/>
    <w:bookmarkStart w:id="21" w:name="totals"/>
    <w:p>
      <w:pPr>
        <w:pStyle w:val="Heading2"/>
      </w:pPr>
      <w:r>
        <w:t xml:space="preserve">2) Totals</w:t>
      </w:r>
    </w:p>
    <w:p>
      <w:pPr>
        <w:pStyle w:val="Compact"/>
        <w:numPr>
          <w:ilvl w:val="0"/>
          <w:numId w:val="1001"/>
        </w:numPr>
      </w:pPr>
      <w:r>
        <w:rPr>
          <w:b/>
          <w:bCs/>
        </w:rPr>
        <w:t xml:space="preserve">Correct:</w:t>
      </w:r>
      <w:r>
        <w:t xml:space="preserve"> </w:t>
      </w:r>
      <w:r>
        <w:t xml:space="preserve">81</w:t>
      </w:r>
      <w:r>
        <w:br/>
      </w:r>
    </w:p>
    <w:p>
      <w:pPr>
        <w:pStyle w:val="Compact"/>
        <w:numPr>
          <w:ilvl w:val="0"/>
          <w:numId w:val="1001"/>
        </w:numPr>
      </w:pPr>
      <w:r>
        <w:rPr>
          <w:b/>
          <w:bCs/>
        </w:rPr>
        <w:t xml:space="preserve">Shaky (0.5):</w:t>
      </w:r>
      <w:r>
        <w:t xml:space="preserve"> </w:t>
      </w:r>
      <w:r>
        <w:t xml:space="preserve">6</w:t>
      </w:r>
      <w:r>
        <w:br/>
      </w:r>
    </w:p>
    <w:p>
      <w:pPr>
        <w:pStyle w:val="Compact"/>
        <w:numPr>
          <w:ilvl w:val="0"/>
          <w:numId w:val="1001"/>
        </w:numPr>
      </w:pPr>
      <w:r>
        <w:rPr>
          <w:b/>
          <w:bCs/>
        </w:rPr>
        <w:t xml:space="preserve">Incorrect:</w:t>
      </w:r>
      <w:r>
        <w:t xml:space="preserve"> </w:t>
      </w:r>
      <w:r>
        <w:t xml:space="preserve">16</w:t>
      </w:r>
      <w:r>
        <w:br/>
      </w:r>
    </w:p>
    <w:p>
      <w:pPr>
        <w:pStyle w:val="Compact"/>
        <w:numPr>
          <w:ilvl w:val="0"/>
          <w:numId w:val="1001"/>
        </w:numPr>
      </w:pPr>
      <w:r>
        <w:rPr>
          <w:b/>
          <w:bCs/>
        </w:rPr>
        <w:t xml:space="preserve">Pending:</w:t>
      </w:r>
      <w:r>
        <w:t xml:space="preserve"> </w:t>
      </w:r>
      <w:r>
        <w:t xml:space="preserve">Engagement clean example, retest Strategic mapping, deeper Laws/Treaties review.</w:t>
      </w:r>
    </w:p>
    <w:p>
      <w:r>
        <w:pict>
          <v:rect style="width:0;height:1.5pt" o:hralign="center" o:hrstd="t" o:hr="t"/>
        </w:pict>
      </w:r>
    </w:p>
    <w:bookmarkEnd w:id="21"/>
    <w:bookmarkStart w:id="22" w:name="detailed-log-chronological-highlights"/>
    <w:p>
      <w:pPr>
        <w:pStyle w:val="Heading2"/>
      </w:pPr>
      <w:r>
        <w:t xml:space="preserve">3) Detailed Log (chronological highlights)</w:t>
      </w:r>
    </w:p>
    <w:p>
      <w:pPr>
        <w:pStyle w:val="Compact"/>
        <w:numPr>
          <w:ilvl w:val="0"/>
          <w:numId w:val="1002"/>
        </w:numPr>
      </w:pPr>
      <w:r>
        <w:t xml:space="preserve">UDL: Representation and Action &amp; Expression strong; Engagement still weak on choice vs output and persistence scenarios.</w:t>
      </w:r>
    </w:p>
    <w:p>
      <w:pPr>
        <w:pStyle w:val="Compact"/>
        <w:numPr>
          <w:ilvl w:val="0"/>
          <w:numId w:val="1002"/>
        </w:numPr>
      </w:pPr>
      <w:r>
        <w:t xml:space="preserve">UDL networks: Strategic miss; Recognition shaky. Affective solid.</w:t>
      </w:r>
    </w:p>
    <w:p>
      <w:pPr>
        <w:pStyle w:val="Compact"/>
        <w:numPr>
          <w:ilvl w:val="0"/>
          <w:numId w:val="1002"/>
        </w:numPr>
      </w:pPr>
      <w:r>
        <w:t xml:space="preserve">Models: Generally strong; one miss on Biopsychosocial (WHO anchor). Terminology slip on Functional Solutions.</w:t>
      </w:r>
    </w:p>
    <w:p>
      <w:pPr>
        <w:pStyle w:val="Compact"/>
        <w:numPr>
          <w:ilvl w:val="0"/>
          <w:numId w:val="1002"/>
        </w:numPr>
      </w:pPr>
      <w:r>
        <w:t xml:space="preserve">Accessibility vs Representation: Misclassifications noted.</w:t>
      </w:r>
    </w:p>
    <w:p>
      <w:pPr>
        <w:pStyle w:val="Compact"/>
        <w:numPr>
          <w:ilvl w:val="0"/>
          <w:numId w:val="1002"/>
        </w:numPr>
      </w:pPr>
      <w:r>
        <w:t xml:space="preserve">Laws:</w:t>
      </w:r>
      <w:r>
        <w:t xml:space="preserve"> </w:t>
      </w:r>
      <w:r>
        <w:rPr>
          <w:b/>
          <w:bCs/>
        </w:rPr>
        <w:t xml:space="preserve">Weakest domain</w:t>
      </w:r>
      <w:r>
        <w:t xml:space="preserve">. CRPD cues partial, Marrakesh solid, Equality Act mostly correct but missed cue, EAA = weakest (years, compliance, scope, exam cues, vs AODA).</w:t>
      </w:r>
    </w:p>
    <w:p>
      <w:r>
        <w:pict>
          <v:rect style="width:0;height:1.5pt" o:hralign="center" o:hrstd="t" o:hr="t"/>
        </w:pict>
      </w:r>
    </w:p>
    <w:bookmarkEnd w:id="22"/>
    <w:bookmarkStart w:id="23" w:name="open-items-to-score-next"/>
    <w:p>
      <w:pPr>
        <w:pStyle w:val="Heading2"/>
      </w:pPr>
      <w:r>
        <w:t xml:space="preserve">4) Open Items to Score Next</w:t>
      </w:r>
    </w:p>
    <w:p>
      <w:pPr>
        <w:pStyle w:val="Compact"/>
        <w:numPr>
          <w:ilvl w:val="0"/>
          <w:numId w:val="1003"/>
        </w:numPr>
      </w:pPr>
      <w:r>
        <w:t xml:space="preserve">Drill: UDL Engagement vs Action &amp; Expression vs Representation (distractor-heavy).</w:t>
      </w:r>
    </w:p>
    <w:p>
      <w:pPr>
        <w:pStyle w:val="Compact"/>
        <w:numPr>
          <w:ilvl w:val="0"/>
          <w:numId w:val="1003"/>
        </w:numPr>
      </w:pPr>
      <w:r>
        <w:t xml:space="preserve">Drill: WHO → Biopsychosocial + ICF anchoring.</w:t>
      </w:r>
    </w:p>
    <w:p>
      <w:pPr>
        <w:pStyle w:val="Compact"/>
        <w:numPr>
          <w:ilvl w:val="0"/>
          <w:numId w:val="1003"/>
        </w:numPr>
      </w:pPr>
      <w:r>
        <w:t xml:space="preserve">Drill: Accessibility vs Representation boundary (labels vs formats vs supports).</w:t>
      </w:r>
    </w:p>
    <w:p>
      <w:pPr>
        <w:pStyle w:val="Compact"/>
        <w:numPr>
          <w:ilvl w:val="0"/>
          <w:numId w:val="1003"/>
        </w:numPr>
      </w:pPr>
      <w:r>
        <w:t xml:space="preserve">Drill: Laws &amp; Treaties (expand beyond CRPD, Marrakesh, EAA, Equality Act to ADA, 504, 508, AODA).</w:t>
      </w:r>
    </w:p>
    <w:p>
      <w:pPr>
        <w:pStyle w:val="Compact"/>
        <w:numPr>
          <w:ilvl w:val="0"/>
          <w:numId w:val="1003"/>
        </w:numPr>
      </w:pPr>
      <w:r>
        <w:t xml:space="preserve">Retest: UDL Neuroscience → Strategic mapping.</w:t>
      </w:r>
    </w:p>
    <w:p>
      <w:r>
        <w:pict>
          <v:rect style="width:0;height:1.5pt" o:hralign="center" o:hrstd="t" o:hr="t"/>
        </w:pict>
      </w:r>
    </w:p>
    <w:bookmarkEnd w:id="23"/>
    <w:bookmarkStart w:id="24" w:name="action-plan"/>
    <w:p>
      <w:pPr>
        <w:pStyle w:val="Heading2"/>
      </w:pPr>
      <w:r>
        <w:t xml:space="preserve">5) Action Plan</w:t>
      </w:r>
    </w:p>
    <w:p>
      <w:pPr>
        <w:pStyle w:val="Compact"/>
        <w:numPr>
          <w:ilvl w:val="0"/>
          <w:numId w:val="1004"/>
        </w:numPr>
      </w:pPr>
      <w:r>
        <w:t xml:space="preserve">Immediate: strengthen</w:t>
      </w:r>
      <w:r>
        <w:t xml:space="preserve"> </w:t>
      </w:r>
      <w:r>
        <w:rPr>
          <w:b/>
          <w:bCs/>
        </w:rPr>
        <w:t xml:space="preserve">laws</w:t>
      </w:r>
      <w:r>
        <w:t xml:space="preserve"> </w:t>
      </w:r>
      <w:r>
        <w:t xml:space="preserve">knowledge, especially EAA details and comparative cues.</w:t>
      </w:r>
    </w:p>
    <w:p>
      <w:pPr>
        <w:pStyle w:val="Compact"/>
        <w:numPr>
          <w:ilvl w:val="0"/>
          <w:numId w:val="1004"/>
        </w:numPr>
      </w:pPr>
      <w:r>
        <w:t xml:space="preserve">Next: mnemonic reinforcements for Equality Act, CRPD, EAA.</w:t>
      </w:r>
    </w:p>
    <w:p>
      <w:pPr>
        <w:pStyle w:val="Compact"/>
        <w:numPr>
          <w:ilvl w:val="0"/>
          <w:numId w:val="1004"/>
        </w:numPr>
      </w:pPr>
      <w:r>
        <w:t xml:space="preserve">Tracking cadence: after each drill, say</w:t>
      </w:r>
      <w:r>
        <w:t xml:space="preserve"> </w:t>
      </w:r>
      <w:r>
        <w:t xml:space="preserve">“log it”</w:t>
      </w:r>
      <w:r>
        <w:t xml:space="preserve"> </w:t>
      </w:r>
      <w:r>
        <w:t xml:space="preserve">and I’ll append counts here.</w:t>
      </w:r>
    </w:p>
    <w:p>
      <w:r>
        <w:pict>
          <v:rect style="width:0;height:1.5pt" o:hralign="center" o:hrstd="t" o:hr="t"/>
        </w:pict>
      </w:r>
    </w:p>
    <w:bookmarkEnd w:id="24"/>
    <w:bookmarkStart w:id="25" w:name="trends-notes-running"/>
    <w:p>
      <w:pPr>
        <w:pStyle w:val="Heading2"/>
      </w:pPr>
      <w:r>
        <w:t xml:space="preserve">6) Trends &amp; Notes (running)</w:t>
      </w:r>
    </w:p>
    <w:p>
      <w:pPr>
        <w:pStyle w:val="Compact"/>
        <w:numPr>
          <w:ilvl w:val="0"/>
          <w:numId w:val="1005"/>
        </w:numPr>
      </w:pPr>
      <w:r>
        <w:t xml:space="preserve">UDL: Engagement &amp; Representation confusions remain.</w:t>
      </w:r>
    </w:p>
    <w:p>
      <w:pPr>
        <w:pStyle w:val="Compact"/>
        <w:numPr>
          <w:ilvl w:val="0"/>
          <w:numId w:val="1005"/>
        </w:numPr>
      </w:pPr>
      <w:r>
        <w:t xml:space="preserve">Models: Mostly mastered, one WHO anchor miss.</w:t>
      </w:r>
    </w:p>
    <w:p>
      <w:pPr>
        <w:pStyle w:val="Compact"/>
        <w:numPr>
          <w:ilvl w:val="0"/>
          <w:numId w:val="1005"/>
        </w:numPr>
      </w:pPr>
      <w:r>
        <w:t xml:space="preserve">Accessibility vs Representation: Needs reinforcement.</w:t>
      </w:r>
    </w:p>
    <w:p>
      <w:pPr>
        <w:pStyle w:val="Compact"/>
        <w:numPr>
          <w:ilvl w:val="0"/>
          <w:numId w:val="1005"/>
        </w:numPr>
      </w:pPr>
      <w:r>
        <w:t xml:space="preserve">Laws: Now clearly weakest area; must drill EAA, Equality Act cues, CRPD phrases, comparisons (esp. EAA vs AODA).</w:t>
      </w:r>
    </w:p>
    <w:p>
      <w:pPr>
        <w:pStyle w:val="Compact"/>
        <w:numPr>
          <w:ilvl w:val="0"/>
          <w:numId w:val="1005"/>
        </w:numPr>
      </w:pPr>
      <w:r>
        <w:t xml:space="preserve">Usability vs UX, Impairment categories: Mastered.</w:t>
      </w:r>
    </w:p>
    <w:p>
      <w:r>
        <w:pict>
          <v:rect style="width:0;height:1.5pt" o:hralign="center" o:hrstd="t" o:hr="t"/>
        </w:pict>
      </w:r>
    </w:p>
    <w:bookmarkEnd w:id="25"/>
    <w:bookmarkStart w:id="26" w:name="next-step-note"/>
    <w:p>
      <w:pPr>
        <w:pStyle w:val="Heading2"/>
      </w:pPr>
      <w:r>
        <w:t xml:space="preserve">Next Step Note</w:t>
      </w:r>
    </w:p>
    <w:p>
      <w:pPr>
        <w:pStyle w:val="FirstParagraph"/>
      </w:pPr>
      <w:r>
        <w:t xml:space="preserve">When starting a fresh conversation:</w:t>
      </w:r>
      <w:r>
        <w:t xml:space="preserve"> </w:t>
      </w:r>
      <w:r>
        <w:rPr>
          <w:i/>
          <w:iCs/>
        </w:rPr>
        <w:t xml:space="preserve">We left off after logging the 20Q Laws Quiz (12C, 1S, 7I). Next step is to update the Sore Spot Review doc with mnemonic changes for Equality Act (Amon Equalist), CRPD (Greta/Kee CRAPT reinforcement), Marrakesh (Dora/Kee/frog/cat), and EAA (Joker PRODs Macky + product/service icons).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2025-09-18T18:43:44Z</dcterms:created>
  <dcterms:modified xsi:type="dcterms:W3CDTF">2025-09-18T18:43:44Z</dcterms:modified>
</cp:coreProperties>
</file>

<file path=docProps/custom.xml><?xml version="1.0" encoding="utf-8"?>
<Properties xmlns="http://schemas.openxmlformats.org/officeDocument/2006/custom-properties" xmlns:vt="http://schemas.openxmlformats.org/officeDocument/2006/docPropsVTypes"/>
</file>