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pacc-artifact-add-on-micro-modules"/>
    <w:p>
      <w:pPr>
        <w:pStyle w:val="Heading1"/>
      </w:pPr>
      <w:r>
        <w:t xml:space="preserve">CPACC Artifact Add-On Micro-Modules</w:t>
      </w:r>
    </w:p>
    <w:p>
      <w:pPr>
        <w:pStyle w:val="FirstParagraph"/>
      </w:pPr>
      <w:r>
        <w:t xml:space="preserve">These modules patch the last ~5% of coverage gaps, making the study corpus fully exam-ready.</w:t>
      </w:r>
    </w:p>
    <w:p>
      <w:r>
        <w:pict>
          <v:rect style="width:0;height:1.5pt" o:hralign="center" o:hrstd="t" o:hr="t"/>
        </w:pict>
      </w:r>
    </w:p>
    <w:bookmarkStart w:id="20" w:name="X9277f7bc0e2be16fab59df2484a478cb2e4e452"/>
    <w:p>
      <w:pPr>
        <w:pStyle w:val="Heading2"/>
      </w:pPr>
      <w:r>
        <w:t xml:space="preserve">Module 1. Universal Design for Learning (UDL)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Principle 1: Multiple Means of Engagement</w:t>
      </w:r>
      <w:r>
        <w:br/>
      </w:r>
      <w:r>
        <w:t xml:space="preserve">• Examples: choice of topics, collaborative vs. independent projects, flexible deadlines.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Principle 2: Multiple Means of Representation</w:t>
      </w:r>
      <w:r>
        <w:br/>
      </w:r>
      <w:r>
        <w:t xml:space="preserve">• Examples: provide text, audio, video, graphics; language translations; captions.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Principle 3: Multiple Means of Action/Expression</w:t>
      </w:r>
      <w:r>
        <w:br/>
      </w:r>
      <w:r>
        <w:t xml:space="preserve">• Examples: essays, presentations, portfolios, interactive demos.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Exam cue</w:t>
      </w:r>
      <w:r>
        <w:t xml:space="preserve">: Know the 3 principles by name + example.</w:t>
      </w:r>
    </w:p>
    <w:p>
      <w:r>
        <w:pict>
          <v:rect style="width:0;height:1.5pt" o:hralign="center" o:hrstd="t" o:hr="t"/>
        </w:pict>
      </w:r>
    </w:p>
    <w:bookmarkEnd w:id="20"/>
    <w:bookmarkStart w:id="21" w:name="X9f4bce7f2ffe6152cab8d2ebf4ea9a4af4fac56"/>
    <w:p>
      <w:pPr>
        <w:pStyle w:val="Heading2"/>
      </w:pPr>
      <w:r>
        <w:t xml:space="preserve">Module 2. Accessibility vs Usability vs UX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Accessibility</w:t>
      </w:r>
      <w:r>
        <w:t xml:space="preserve">: baseline conformance, enables access for PWD.</w:t>
      </w:r>
      <w:r>
        <w:br/>
      </w:r>
      <w:r>
        <w:t xml:space="preserve">• Example: captions on videos.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Usability</w:t>
      </w:r>
      <w:r>
        <w:t xml:space="preserve">: ease of use for target audience.</w:t>
      </w:r>
      <w:r>
        <w:br/>
      </w:r>
      <w:r>
        <w:t xml:space="preserve">• Example: captions properly timed, readable, not blocking content.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Experience (UX)</w:t>
      </w:r>
      <w:r>
        <w:t xml:space="preserve">: overall satisfaction, emotional/holistic impact.</w:t>
      </w:r>
      <w:r>
        <w:br/>
      </w:r>
      <w:r>
        <w:t xml:space="preserve">• Example: intuitive caption toggle, customizable appearance, good player design.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Exam cue</w:t>
      </w:r>
      <w:r>
        <w:t xml:space="preserve">: If stem asks</w:t>
      </w:r>
      <w:r>
        <w:t xml:space="preserve"> </w:t>
      </w:r>
      <w:r>
        <w:t xml:space="preserve">“meets needs but is frustrating/confusing,”</w:t>
      </w:r>
      <w:r>
        <w:t xml:space="preserve"> </w:t>
      </w:r>
      <w:r>
        <w:t xml:space="preserve">answer = usability/UX, not accessibility.</w:t>
      </w:r>
    </w:p>
    <w:p>
      <w:r>
        <w:pict>
          <v:rect style="width:0;height:1.5pt" o:hralign="center" o:hrstd="t" o:hr="t"/>
        </w:pict>
      </w:r>
    </w:p>
    <w:bookmarkEnd w:id="21"/>
    <w:bookmarkStart w:id="22" w:name="X243b6b99637fcdb02794cb02351bd9512e22156"/>
    <w:p>
      <w:pPr>
        <w:pStyle w:val="Heading2"/>
      </w:pPr>
      <w:r>
        <w:t xml:space="preserve">Module 3. Temporary &amp; Episodic Disabilities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Concept</w:t>
      </w:r>
      <w:r>
        <w:t xml:space="preserve">: Barriers affect everyone at times; accessibility benefits are universal.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Examples</w:t>
      </w:r>
      <w:r>
        <w:t xml:space="preserve">:</w:t>
      </w:r>
      <w:r>
        <w:br/>
      </w:r>
      <w:r>
        <w:t xml:space="preserve">• Broken arm → voice input / switch controls.</w:t>
      </w:r>
      <w:r>
        <w:br/>
      </w:r>
      <w:r>
        <w:t xml:space="preserve">• Noisy café → captions.</w:t>
      </w:r>
      <w:r>
        <w:br/>
      </w:r>
      <w:r>
        <w:t xml:space="preserve">• Strong glare → high contrast mode.</w:t>
      </w:r>
      <w:r>
        <w:br/>
      </w:r>
      <w:r>
        <w:t xml:space="preserve">• Migraine → reduced motion setting.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 cue</w:t>
      </w:r>
      <w:r>
        <w:t xml:space="preserve">: Universal Design helps</w:t>
      </w:r>
      <w:r>
        <w:t xml:space="preserve"> </w:t>
      </w:r>
      <w:r>
        <w:rPr>
          <w:i/>
          <w:iCs/>
        </w:rPr>
        <w:t xml:space="preserve">permanent, temporary, and situational</w:t>
      </w:r>
      <w:r>
        <w:t xml:space="preserve"> </w:t>
      </w:r>
      <w:r>
        <w:t xml:space="preserve">impairments.</w:t>
      </w:r>
    </w:p>
    <w:p>
      <w:r>
        <w:pict>
          <v:rect style="width:0;height:1.5pt" o:hralign="center" o:hrstd="t" o:hr="t"/>
        </w:pict>
      </w:r>
    </w:p>
    <w:bookmarkEnd w:id="22"/>
    <w:bookmarkStart w:id="23" w:name="module-4.-governance-maturity"/>
    <w:p>
      <w:pPr>
        <w:pStyle w:val="Heading2"/>
      </w:pPr>
      <w:r>
        <w:t xml:space="preserve">Module 4. Governance &amp; Maturity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Roles</w:t>
      </w:r>
      <w:r>
        <w:t xml:space="preserve">: executive sponsor, accessibility program manager, SMEs, QA testers, trainers.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Procurement</w:t>
      </w:r>
      <w:r>
        <w:t xml:space="preserve">: require VPAT/ACR; vendor conformance claims; periodic audits.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Maturity Models</w:t>
      </w:r>
      <w:r>
        <w:t xml:space="preserve">: stages = informal → repeatable → defined → managed → optimized.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Integration</w:t>
      </w:r>
      <w:r>
        <w:t xml:space="preserve">: policy, training, monitoring, reporting, escalation, PR risk management.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Exam cue</w:t>
      </w:r>
      <w:r>
        <w:t xml:space="preserve">:</w:t>
      </w:r>
      <w:r>
        <w:t xml:space="preserve"> </w:t>
      </w:r>
      <w:r>
        <w:t xml:space="preserve">“Which practice shows maturity?”</w:t>
      </w:r>
      <w:r>
        <w:t xml:space="preserve"> </w:t>
      </w:r>
      <w:r>
        <w:t xml:space="preserve">= monitoring, continuous improvement, champions.</w:t>
      </w:r>
    </w:p>
    <w:p>
      <w:r>
        <w:pict>
          <v:rect style="width:0;height:1.5pt" o:hralign="center" o:hrstd="t" o:hr="t"/>
        </w:pict>
      </w:r>
    </w:p>
    <w:bookmarkEnd w:id="23"/>
    <w:bookmarkStart w:id="24" w:name="module-5.-treaties-laws-one-liners"/>
    <w:p>
      <w:pPr>
        <w:pStyle w:val="Heading2"/>
      </w:pPr>
      <w:r>
        <w:t xml:space="preserve">Module 5. Treaties &amp; Laws One-Liners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Marrakesh Treaty</w:t>
      </w:r>
      <w:r>
        <w:t xml:space="preserve">: copyright exceptions → accessible format copies; cross-border sharing for blind/print-disabled.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European Accessibility Act (EAA)</w:t>
      </w:r>
      <w:r>
        <w:t xml:space="preserve">: EU directive (in force 2025) harmonizing accessibility rules for products/services (ATMs, e-commerce, transport, telecom).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ADA (US)</w:t>
      </w:r>
      <w:r>
        <w:t xml:space="preserve">: civil rights law, prohibits disability discrimination.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AODA (Canada)</w:t>
      </w:r>
      <w:r>
        <w:t xml:space="preserve">: Ontario provincial law, standards + compliance.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Equality Act 2010 (UK)</w:t>
      </w:r>
      <w:r>
        <w:t xml:space="preserve">: broad anti-discrimination + accessibility duty.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 cue</w:t>
      </w:r>
      <w:r>
        <w:t xml:space="preserve">: focus on</w:t>
      </w:r>
      <w:r>
        <w:t xml:space="preserve"> </w:t>
      </w:r>
      <w:r>
        <w:t xml:space="preserve">“what it does, where it applies,”</w:t>
      </w:r>
      <w:r>
        <w:t xml:space="preserve"> </w:t>
      </w:r>
      <w:r>
        <w:t xml:space="preserve">not section numbers.</w:t>
      </w:r>
    </w:p>
    <w:p>
      <w:r>
        <w:pict>
          <v:rect style="width:0;height:1.5pt" o:hralign="center" o:hrstd="t" o:hr="t"/>
        </w:pict>
      </w:r>
    </w:p>
    <w:bookmarkEnd w:id="24"/>
    <w:bookmarkStart w:id="25" w:name="module-6.-cpacc-vs-was-scope-guardrail"/>
    <w:p>
      <w:pPr>
        <w:pStyle w:val="Heading2"/>
      </w:pPr>
      <w:r>
        <w:t xml:space="preserve">Module 6. CPACC vs WAS Scope Guardrail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CPACC</w:t>
      </w:r>
      <w:r>
        <w:t xml:space="preserve">: conceptual knowledge, disability models, laws, WCAG 2.1 principles/intents, governance.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WAS</w:t>
      </w:r>
      <w:r>
        <w:t xml:space="preserve">: technical expertise, remediation methods, WCAG success criteria and coding patterns.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 cue</w:t>
      </w:r>
      <w:r>
        <w:t xml:space="preserve">: If a question looks like</w:t>
      </w:r>
      <w:r>
        <w:t xml:space="preserve"> </w:t>
      </w:r>
      <w:r>
        <w:t xml:space="preserve">“code snippet / remediation technique,”</w:t>
      </w:r>
      <w:r>
        <w:t xml:space="preserve"> </w:t>
      </w:r>
      <w:r>
        <w:t xml:space="preserve">that’s WAS, not CPACC.</w:t>
      </w:r>
    </w:p>
    <w:p>
      <w:r>
        <w:pict>
          <v:rect style="width:0;height:1.5pt" o:hralign="center" o:hrstd="t" o:hr="t"/>
        </w:pict>
      </w:r>
    </w:p>
    <w:bookmarkEnd w:id="25"/>
    <w:bookmarkStart w:id="26" w:name="module-7.-exam-logistics-crib"/>
    <w:p>
      <w:pPr>
        <w:pStyle w:val="Heading2"/>
      </w:pPr>
      <w:r>
        <w:t xml:space="preserve">Module 7. Exam Logistics Crib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Dates</w:t>
      </w:r>
      <w:r>
        <w:t xml:space="preserve">: Nov/Dec 2025 window → Nov 12 to Dec 10. Application closes Nov 12.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Format</w:t>
      </w:r>
      <w:r>
        <w:t xml:space="preserve">: 100 multiple-choice questions, 2 hours, computer-based (OnVUE remote or Pearson VUE center).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Scoring</w:t>
      </w:r>
      <w:r>
        <w:t xml:space="preserve">: Cut score undisclosed; historically ~70–75%.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Results</w:t>
      </w:r>
      <w:r>
        <w:t xml:space="preserve">: Released ~6–8 weeks after close of window.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Retakes</w:t>
      </w:r>
      <w:r>
        <w:t xml:space="preserve">: Allowed with new registration; must wait until next exam window.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Accommodations</w:t>
      </w:r>
      <w:r>
        <w:t xml:space="preserve">: Extra time, AT, environment; must be requested/documented during registration.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Exam-day rules</w:t>
      </w:r>
      <w:r>
        <w:t xml:space="preserve">: No notes/books; valid ID required; proctoring restrictions enforced.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integration-plan"/>
    <w:p>
      <w:pPr>
        <w:pStyle w:val="Heading1"/>
      </w:pPr>
      <w:r>
        <w:t xml:space="preserve">✅ Integration Plan</w:t>
      </w:r>
    </w:p>
    <w:p>
      <w:pPr>
        <w:pStyle w:val="Compact"/>
        <w:numPr>
          <w:ilvl w:val="0"/>
          <w:numId w:val="1008"/>
        </w:numPr>
      </w:pPr>
      <w:r>
        <w:t xml:space="preserve">Drop these 7 modules into your artifacts as stand-alone sections or appendices.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Label them</w:t>
      </w:r>
      <w:r>
        <w:t xml:space="preserve"> </w:t>
      </w:r>
      <w:r>
        <w:t xml:space="preserve">“Exam Patches 2025.”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They complete the last missing slices of coverage.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2025-09-18T18:45:08Z</dcterms:created>
  <dcterms:modified xsi:type="dcterms:W3CDTF">2025-09-18T18:45:08Z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