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2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funnel uses GPTs as the</w:t>
      </w:r>
      <w:r>
        <w:t xml:space="preserve"> </w:t>
      </w:r>
      <w:r>
        <w:rPr>
          <w:i/>
          <w:iCs/>
        </w:rPr>
        <w:t xml:space="preserve">front-end accelerators</w:t>
      </w:r>
      <w:r>
        <w:t xml:space="preserve"> </w:t>
      </w:r>
      <w:r>
        <w:t xml:space="preserve">while positioning you as the authority who delivers the</w:t>
      </w:r>
      <w:r>
        <w:t xml:space="preserve"> </w:t>
      </w:r>
      <w:r>
        <w:rPr>
          <w:b/>
          <w:bCs/>
        </w:rPr>
        <w:t xml:space="preserve">trustworthy, legally defensible end product</w:t>
      </w:r>
      <w:r>
        <w:t xml:space="preserve">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2025-09-04T20:20:46Z</dcterms:created>
  <dcterms:modified xsi:type="dcterms:W3CDTF">2025-09-04T20:20:46Z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