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técnico de revisión</w:t>
        <w:br/>
        <w:t>del proyecto SCA TC</w:t>
      </w:r>
    </w:p>
    <w:p>
      <w:pPr>
        <w:pStyle w:val="Subtitle"/>
      </w:pPr>
      <w:r>
        <w:t>Seguridad funcional e integridad del sistema de inventario</w:t>
      </w:r>
    </w:p>
    <w:p>
      <w:r>
        <w:t>27 de octubre de 2026 | Versión 1.0</w:t>
      </w:r>
    </w:p>
    <w:p>
      <w:r>
        <w:rPr>
          <w:b/>
        </w:rPr>
        <w:t xml:space="preserve">Dirigido a </w:t>
      </w:r>
      <w:r>
        <w:t>Responsable del proyecto y equipo de desarrollo</w:t>
      </w:r>
    </w:p>
    <w:p>
      <w:r>
        <w:rPr>
          <w:b/>
        </w:rPr>
        <w:t xml:space="preserve">Elaborado por </w:t>
      </w:r>
      <w:r>
        <w:t>Codex mediante revisión asistida del repositorio</w:t>
      </w:r>
    </w:p>
    <w:p>
      <w:r>
        <w:rPr>
          <w:b/>
        </w:rPr>
        <w:t xml:space="preserve">Base de revisión </w:t>
      </w:r>
      <w:r>
        <w:t>Repositorio SCA-TC | Referencia de código f5e9b44</w:t>
      </w:r>
    </w:p>
    <w:p>
      <w:pPr>
        <w:pStyle w:val="Heading1"/>
      </w:pPr>
      <w:r>
        <w:t>1 Dictamen técnico</w:t>
      </w:r>
    </w:p>
    <w:p>
      <w:r>
        <w:t>El estado revisado no reúne condiciones suficientes para autorizar su uso en producción. Se identificaron fallos que alteran la identidad de una sesión, permiten transiciones patrimoniales inconsistentes y reducen la confiabilidad de los registros de auditoría y de la depreciación.</w:t>
      </w:r>
    </w:p>
    <w:p>
      <w:r>
        <w:t>El frontend compila y el backend supera la comprobación sintáctica. Estos resultados acreditan aspectos de construcción del software, pero no validan los procesos de negocio. La prioridad debe ser corregir los defectos funcionales y de seguridad antes de ampliar funcionalidades o dedicar esfuerzo adicional a la presentación visual.</w:t>
      </w:r>
    </w:p>
    <w:p>
      <w:r>
        <w:t>Se documentan diez hallazgos principales: uno crítico, siete altos y dos medios. La severidad expresa el impacto técnico estimado y no constituye una puntuación CVSS. Las condiciones de explotación y el alcance de las comprobaciones se indican en cada hallazgo.</w:t>
      </w:r>
    </w:p>
    <w:p>
      <w:pPr>
        <w:pStyle w:val="Heading1"/>
      </w:pPr>
      <w:r>
        <w:t>2 Alcance y método</w:t>
      </w:r>
    </w:p>
    <w:p>
      <w:r>
        <w:t>Se inspeccionaron autenticación, autorización por roles, controladores, rutas, esquema y migraciones SQL, movimientos patrimoniales, bajas, configuración, depreciación, reportes y componentes principales del frontend. También se revisaron los scripts de construcción y la documentación de pruebas.</w:t>
      </w:r>
    </w:p>
    <w:p>
      <w:r>
        <w:t>La validación incluyó compilación de producción del frontend, revisión sintáctica de los archivos JavaScript del backend y ocho reproducciones aisladas de comportamiento con SQL y almacenamiento simulados. Las pruebas no modificaron la base real ni enviaron evidencias a Storage.</w:t>
      </w:r>
    </w:p>
    <w:p>
      <w:r>
        <w:t>No se ejecutó una prueba de penetración ni una campaña de integración o concurrencia contra PostgreSQL. No se verificaron la configuración productiva, las políticas efectivas de Supabase, la recuperación de respaldos ni la capacidad bajo carga. Los resultados no sustituyen esas verificaciones.</w:t>
      </w:r>
    </w:p>
    <w:p>
      <w:r>
        <w:t>La estructura de rutas y controladores, las consultas SQL parametrizadas y el uso de transacciones en varios procesos son bases aprovechables. La debilidad dominante es la aplicación desigual de reglas de identidad, validación y trazabilidad entre módulos.</w:t>
      </w:r>
    </w:p>
    <w:p>
      <w:r>
        <w:br w:type="page"/>
      </w:r>
    </w:p>
    <w:p>
      <w:pPr>
        <w:pStyle w:val="Heading1"/>
      </w:pPr>
      <w:r>
        <w:t>3 Hallazgos de autenticación y autoría</w:t>
      </w:r>
    </w:p>
    <w:p>
      <w:pPr>
        <w:pStyle w:val="Heading2"/>
      </w:pPr>
      <w:r>
        <w:t>H01 Identidad incorrecta después de renovar la sesión</w:t>
      </w:r>
    </w:p>
    <w:p>
      <w:r>
        <w:rPr>
          <w:b/>
        </w:rPr>
        <w:t xml:space="preserve">Clasificación </w:t>
      </w:r>
      <w:r>
        <w:t>CRÍTICO | Reproducción aislada</w:t>
      </w:r>
    </w:p>
    <w:p>
      <w:r>
        <w:rPr>
          <w:b/>
        </w:rPr>
        <w:t xml:space="preserve">Hallazgo. </w:t>
      </w:r>
      <w:r>
        <w:t>refresh() recupera s.id como id y el identificador del usuario como user_id. Después pasa el objeto de sesión a createAuthToken() y safeUser(), que interpretan id como identificador de usuario. En la prueba, una sesión 42 del usuario 7 generó un JWT con sub igual a 42 y una respuesta user.id igual a 42.</w:t>
      </w:r>
    </w:p>
    <w:p>
      <w:r>
        <w:rPr>
          <w:b/>
        </w:rPr>
        <w:t xml:space="preserve">Impacto. </w:t>
      </w:r>
      <w:r>
        <w:t>Las rutas que consultan o actualizan por req.user.sub pueden operar sobre otra cuenta si existe un usuario con ese identificador, o fallar cuando no existe. También se compromete la atribución de operaciones. El rol sigue procediendo del usuario original; no se demostró una elevación automática a administrador.</w:t>
      </w:r>
    </w:p>
    <w:p>
      <w:r>
        <w:rPr>
          <w:b/>
        </w:rPr>
        <w:t xml:space="preserve">Corrección propuesta. </w:t>
      </w:r>
      <w:r>
        <w:t>Separar sessionId y userId en la consulta y construir explícitamente el objeto de usuario antes de emitir tokens o respuestas. Normalizar una sola identidad autenticada para todos los controladores.</w:t>
      </w:r>
    </w:p>
    <w:p>
      <w:r>
        <w:rPr>
          <w:b/>
        </w:rPr>
        <w:t xml:space="preserve">Criterio de aceptación. </w:t>
      </w:r>
      <w:r>
        <w:t>Un login y sucesivos refresh deben conservar exactamente el mismo ID de usuario aunque los IDs de usuario y sesión sean diferentes. /me y /profile deben acceder únicamente a esa cuenta.</w:t>
      </w:r>
    </w:p>
    <w:p>
      <w:pPr>
        <w:pStyle w:val="Referenciatecnica"/>
      </w:pPr>
      <w:r>
        <w:t>backend/controllers/authController.js:120, 147, 163, 209, 250</w:t>
      </w:r>
    </w:p>
    <w:p>
      <w:pPr>
        <w:pStyle w:val="Referenciatecnica"/>
      </w:pPr>
      <w:r>
        <w:t>backend/utils/auth.js:70, 82</w:t>
      </w:r>
    </w:p>
    <w:p>
      <w:pPr>
        <w:pStyle w:val="Heading2"/>
      </w:pPr>
      <w:r>
        <w:t>H02 Autor no definido en bajas y configuración</w:t>
      </w:r>
    </w:p>
    <w:p>
      <w:r>
        <w:rPr>
          <w:b/>
        </w:rPr>
        <w:t xml:space="preserve">Clasificación </w:t>
      </w:r>
      <w:r>
        <w:t>ALTO | Parámetros SQL comprobados con dobles de prueba</w:t>
      </w:r>
    </w:p>
    <w:p>
      <w:r>
        <w:rPr>
          <w:b/>
        </w:rPr>
        <w:t xml:space="preserve">Hallazgo. </w:t>
      </w:r>
      <w:r>
        <w:t>El JWT incluye sub, pero los controladores de bajas y configuración consultan req.user.id. La reproducción con un token normal confirmó undefined como parámetro de autorizado_por y actualizado_por. La prueba de baja simuló el rechazo de valores indefinidos del cliente SQL.</w:t>
      </w:r>
    </w:p>
    <w:p>
      <w:r>
        <w:rPr>
          <w:b/>
        </w:rPr>
        <w:t xml:space="preserve">Impacto. </w:t>
      </w:r>
      <w:r>
        <w:t>El guardado puede terminar en error. En bajas, la subida de archivos ocurre antes del INSERT, por lo que se intenta una operación externa que luego debe compensarse. No se verificó este flujo contra servicios reales.</w:t>
      </w:r>
    </w:p>
    <w:p>
      <w:r>
        <w:rPr>
          <w:b/>
        </w:rPr>
        <w:t xml:space="preserve">Corrección propuesta. </w:t>
      </w:r>
      <w:r>
        <w:t>Usar la identidad normalizada del middleware y validar su existencia antes de iniciar transacciones o subir archivos. Mantener la limpieza compensatoria ante fallos posteriores.</w:t>
      </w:r>
    </w:p>
    <w:p>
      <w:r>
        <w:rPr>
          <w:b/>
        </w:rPr>
        <w:t xml:space="preserve">Criterio de aceptación. </w:t>
      </w:r>
      <w:r>
        <w:t>Guardar configuración y registrar una baja con un JWT válido debe persistir el ID del operador correcto. La prueba de integración debe comprobar la relación entre el autor almacenado y la cuenta autenticada.</w:t>
      </w:r>
    </w:p>
    <w:p>
      <w:pPr>
        <w:pStyle w:val="Referenciatecnica"/>
      </w:pPr>
      <w:r>
        <w:t>backend/controllers/bajasController.js:74</w:t>
      </w:r>
    </w:p>
    <w:p>
      <w:pPr>
        <w:pStyle w:val="Referenciatecnica"/>
      </w:pPr>
      <w:r>
        <w:t>backend/controllers/configuracionController.js:114</w:t>
      </w:r>
    </w:p>
    <w:p>
      <w:pPr>
        <w:pStyle w:val="Referenciatecnica"/>
      </w:pPr>
      <w:r>
        <w:t>backend/middleware/auth.js:12</w:t>
      </w:r>
    </w:p>
    <w:p>
      <w:r>
        <w:br w:type="page"/>
      </w:r>
    </w:p>
    <w:p>
      <w:pPr>
        <w:pStyle w:val="Heading1"/>
      </w:pPr>
      <w:r>
        <w:t>4 Hallazgos de integridad patrimonial</w:t>
      </w:r>
    </w:p>
    <w:p>
      <w:pPr>
        <w:pStyle w:val="Heading2"/>
      </w:pPr>
      <w:r>
        <w:t>H03 Una aprobación pendiente sobrescribe asignaciones posteriores</w:t>
      </w:r>
    </w:p>
    <w:p>
      <w:r>
        <w:rPr>
          <w:b/>
        </w:rPr>
        <w:t xml:space="preserve">Clasificación </w:t>
      </w:r>
      <w:r>
        <w:t>ALTO | Reproducción aislada del controlador</w:t>
      </w:r>
    </w:p>
    <w:p>
      <w:r>
        <w:rPr>
          <w:b/>
        </w:rPr>
        <w:t xml:space="preserve">Hallazgo. </w:t>
      </w:r>
      <w:r>
        <w:t>Al aprobar una asignación o un préstamo, el controlador cierra cualquier asignación activa del bien y crea una nueva sin comprobar otra vez su disponibilidad y el responsable actual. La validación detallada del estado se aplica a cambios, pero no a estos casos. La reproducción sustituyó al responsable 99 por el 7.</w:t>
      </w:r>
    </w:p>
    <w:p>
      <w:r>
        <w:rPr>
          <w:b/>
        </w:rPr>
        <w:t xml:space="preserve">Impacto. </w:t>
      </w:r>
      <w:r>
        <w:t>Una solicitud antigua puede alterar una asignación legítima registrada después. La transacción evita escrituras parciales, pero no garantiza que la transición de negocio sea válida. El comportamiento bajo concurrencia real no fue medido.</w:t>
      </w:r>
    </w:p>
    <w:p>
      <w:r>
        <w:rPr>
          <w:b/>
        </w:rPr>
        <w:t xml:space="preserve">Corrección propuesta. </w:t>
      </w:r>
      <w:r>
        <w:t>Bloquear el bien, revisar su estado y la asignación vigente dentro de la misma transacción de aprobación. Rechazar solicitudes obsoletas y definir cómo se reservan bienes con movimientos pendientes.</w:t>
      </w:r>
    </w:p>
    <w:p>
      <w:r>
        <w:rPr>
          <w:b/>
        </w:rPr>
        <w:t xml:space="preserve">Criterio de aceptación. </w:t>
      </w:r>
      <w:r>
        <w:t>Si el bien cambia de responsable o deja de estar disponible entre solicitud y aprobación, responder con conflicto sin cerrar ni crear asignaciones. Probar también aprobaciones concurrentes sobre el mismo bien.</w:t>
      </w:r>
    </w:p>
    <w:p>
      <w:pPr>
        <w:pStyle w:val="Referenciatecnica"/>
      </w:pPr>
      <w:r>
        <w:t>backend/controllers/movimientosController.js:193, 202, 235</w:t>
      </w:r>
    </w:p>
    <w:p>
      <w:pPr>
        <w:pStyle w:val="Heading2"/>
      </w:pPr>
      <w:r>
        <w:t>H04 La edición de ficha elude controles de baja y valoración</w:t>
      </w:r>
    </w:p>
    <w:p>
      <w:r>
        <w:rPr>
          <w:b/>
        </w:rPr>
        <w:t xml:space="preserve">Clasificación </w:t>
      </w:r>
      <w:r>
        <w:t>ALTO | Reproducción aislada del controlador</w:t>
      </w:r>
    </w:p>
    <w:p>
      <w:r>
        <w:rPr>
          <w:b/>
        </w:rPr>
        <w:t xml:space="preserve">Hallazgo. </w:t>
      </w:r>
      <w:r>
        <w:t>updateBien() permite enviar estado igual a baja mediante la edición general, sin crear el registro de baja ni exigir evidencias. La validación también acepta un costo negativo. Ambos valores llegaron a la escritura SQL simulada y el controlador devolvió éxito.</w:t>
      </w:r>
    </w:p>
    <w:p>
      <w:r>
        <w:rPr>
          <w:b/>
        </w:rPr>
        <w:t xml:space="preserve">Impacto. </w:t>
      </w:r>
      <w:r>
        <w:t>El estado del inventario puede contradecir los documentos de baja y el historial de asignaciones. Los importes negativos contaminan los totales patrimoniales y los reportes.</w:t>
      </w:r>
    </w:p>
    <w:p>
      <w:r>
        <w:rPr>
          <w:b/>
        </w:rPr>
        <w:t xml:space="preserve">Corrección propuesta. </w:t>
      </w:r>
      <w:r>
        <w:t>Excluir las transiciones patrimoniales del endpoint de edición de ficha. Centralizar las reglas de estado en operaciones específicas y aplicar validaciones comunes al registro y la actualización. Incorporar restricciones SQL para invariantes numéricos.</w:t>
      </w:r>
    </w:p>
    <w:p>
      <w:r>
        <w:rPr>
          <w:b/>
        </w:rPr>
        <w:t xml:space="preserve">Criterio de aceptación. </w:t>
      </w:r>
      <w:r>
        <w:t>La edición general debe rechazar estado igual a baja y costos negativos. La baja debe exigir evidencia y actualizar de forma coherente el bien, las asignaciones y la trazabilidad.</w:t>
      </w:r>
    </w:p>
    <w:p>
      <w:pPr>
        <w:pStyle w:val="Referenciatecnica"/>
      </w:pPr>
      <w:r>
        <w:t>backend/controllers/bienesController.js:195, 203, 211, 212</w:t>
      </w:r>
    </w:p>
    <w:p>
      <w:pPr>
        <w:pStyle w:val="Referenciatecnica"/>
      </w:pPr>
      <w:r>
        <w:t>backend/migrations/schema.sql:241, 340</w:t>
      </w:r>
    </w:p>
    <w:p>
      <w:r>
        <w:br w:type="page"/>
      </w:r>
    </w:p>
    <w:p>
      <w:pPr>
        <w:pStyle w:val="Heading1"/>
      </w:pPr>
      <w:r>
        <w:t>5 Hallazgos de valoración y auditoría</w:t>
      </w:r>
    </w:p>
    <w:p>
      <w:pPr>
        <w:pStyle w:val="Heading2"/>
      </w:pPr>
      <w:r>
        <w:t>H05 La depreciación depende del número de actualizaciones</w:t>
      </w:r>
    </w:p>
    <w:p>
      <w:r>
        <w:rPr>
          <w:b/>
        </w:rPr>
        <w:t xml:space="preserve">Clasificación </w:t>
      </w:r>
      <w:r>
        <w:t>ALTO | Reproducción aislada</w:t>
      </w:r>
    </w:p>
    <w:p>
      <w:r>
        <w:rPr>
          <w:b/>
        </w:rPr>
        <w:t xml:space="preserve">Hallazgo. </w:t>
      </w:r>
      <w:r>
        <w:t>La actualización calcula desde valor_inicial usando la diferencia entre el año actual y ano_actual. A continuación sobrescribe ano_actual. Repetir la operación en el mismo año hace que el exponente sea cero y restaura el valor inicial. El caso reproducido pasó de S/ 1.000 a S/ 640 y luego a S/ 1.000.</w:t>
      </w:r>
    </w:p>
    <w:p>
      <w:r>
        <w:rPr>
          <w:b/>
        </w:rPr>
        <w:t xml:space="preserve">Impacto. </w:t>
      </w:r>
      <w:r>
        <w:t>El valor contable obtenido deja de ser reproducible: una segunda ejecución puede revertir la depreciación. Los reportes que consumen esos valores pueden presentar montos incorrectos.</w:t>
      </w:r>
    </w:p>
    <w:p>
      <w:r>
        <w:rPr>
          <w:b/>
        </w:rPr>
        <w:t xml:space="preserve">Corrección propuesta. </w:t>
      </w:r>
      <w:r>
        <w:t>Definir una fecha base inmutable y calcular siempre desde ella, o aplicar de forma consistente la actualización incremental sobre el valor vigente. Separar la fecha base de la fecha de último cálculo. Validar tasa, costo y límites del resultado.</w:t>
      </w:r>
    </w:p>
    <w:p>
      <w:r>
        <w:rPr>
          <w:b/>
        </w:rPr>
        <w:t xml:space="preserve">Criterio de aceptación. </w:t>
      </w:r>
      <w:r>
        <w:t>Dos actualizaciones para la misma fecha deben producir exactamente el mismo importe. Cubrir cambio de año, tasa cero, fechas futuras y valores límite. Validar por separado con el responsable funcional el método contable requerido.</w:t>
      </w:r>
    </w:p>
    <w:p>
      <w:pPr>
        <w:pStyle w:val="Referenciatecnica"/>
      </w:pPr>
      <w:r>
        <w:t>backend/controllers/depreciacionController.js:55, 57, 59, 63</w:t>
      </w:r>
    </w:p>
    <w:p>
      <w:pPr>
        <w:pStyle w:val="Heading2"/>
      </w:pPr>
      <w:r>
        <w:t>H06 La consulta de auditoría oculta parte del historial</w:t>
      </w:r>
    </w:p>
    <w:p>
      <w:r>
        <w:rPr>
          <w:b/>
        </w:rPr>
        <w:t xml:space="preserve">Clasificación </w:t>
      </w:r>
      <w:r>
        <w:t>ALTO | Inspección estática del código y esquema</w:t>
      </w:r>
    </w:p>
    <w:p>
      <w:r>
        <w:rPr>
          <w:b/>
        </w:rPr>
        <w:t xml:space="preserve">Hallazgo. </w:t>
      </w:r>
      <w:r>
        <w:t>Los triggers obtienen el autor desde app.audit_user_id. Entre los controladores revisados, solo bienes configura ese valor. La consulta de auditoría hace INNER JOIN con usuarios y excluye cuentas inactivas, por lo que oculta eventos sin autor y acciones históricas de cuentas deshabilitadas.</w:t>
      </w:r>
    </w:p>
    <w:p>
      <w:r>
        <w:rPr>
          <w:b/>
        </w:rPr>
        <w:t xml:space="preserve">Impacto. </w:t>
      </w:r>
      <w:r>
        <w:t>El reporte no representa toda la actividad registrada. Deshabilitar una cuenta cambia la visibilidad de sus acciones anteriores. Los registros no necesariamente se borran de la tabla, pero dejan de aparecer en la consulta.</w:t>
      </w:r>
    </w:p>
    <w:p>
      <w:r>
        <w:rPr>
          <w:b/>
        </w:rPr>
        <w:t xml:space="preserve">Corrección propuesta. </w:t>
      </w:r>
      <w:r>
        <w:t>Establecer el contexto de auditoría en todas las transacciones que modifican datos. Conservar los eventos aunque su autor sea desconocido o esté inactivo, mediante una consulta que no filtre el historial por el estado actual de la cuenta.</w:t>
      </w:r>
    </w:p>
    <w:p>
      <w:r>
        <w:rPr>
          <w:b/>
        </w:rPr>
        <w:t xml:space="preserve">Criterio de aceptación. </w:t>
      </w:r>
      <w:r>
        <w:t>Tras deshabilitar un usuario, sus acciones deben seguir visibles. Los eventos sin usuario deben mostrarse identificados como tales. Cada operación de escritura debe registrar al operador o un origen de sistema explícito.</w:t>
      </w:r>
    </w:p>
    <w:p>
      <w:pPr>
        <w:pStyle w:val="Referenciatecnica"/>
      </w:pPr>
      <w:r>
        <w:t>backend/migrations/schema.sql:304, 307, 311, 315</w:t>
      </w:r>
    </w:p>
    <w:p>
      <w:pPr>
        <w:pStyle w:val="Referenciatecnica"/>
      </w:pPr>
      <w:r>
        <w:t>backend/controllers/bienesController.js:34</w:t>
      </w:r>
    </w:p>
    <w:p>
      <w:pPr>
        <w:pStyle w:val="Referenciatecnica"/>
      </w:pPr>
      <w:r>
        <w:t>backend/controllers/auditoriaController.js:79, 81</w:t>
      </w:r>
    </w:p>
    <w:p>
      <w:r>
        <w:br w:type="page"/>
      </w:r>
    </w:p>
    <w:p>
      <w:pPr>
        <w:pStyle w:val="Heading1"/>
      </w:pPr>
      <w:r>
        <w:t>6 Hallazgos de autorización e inicialización</w:t>
      </w:r>
    </w:p>
    <w:p>
      <w:pPr>
        <w:pStyle w:val="Heading2"/>
      </w:pPr>
      <w:r>
        <w:t>H07 La aprobación depende de un correo que el usuario puede editar</w:t>
      </w:r>
    </w:p>
    <w:p>
      <w:r>
        <w:rPr>
          <w:b/>
        </w:rPr>
        <w:t xml:space="preserve">Clasificación </w:t>
      </w:r>
      <w:r>
        <w:t>ALTO | Inspección estática y escenario condicionado</w:t>
      </w:r>
    </w:p>
    <w:p>
      <w:r>
        <w:rPr>
          <w:b/>
        </w:rPr>
        <w:t xml:space="preserve">Hallazgo. </w:t>
      </w:r>
      <w:r>
        <w:t>La aprobación de movimientos permite continuar si el correo del JWT coincide con correo_jefe. A su vez, el perfil permite cambiar el correo sin comprobar su propiedad. Si el correo del jefe no pertenece ya a otra cuenta, un usuario puede adoptarlo y obtener un token posterior con ese valor.</w:t>
      </w:r>
    </w:p>
    <w:p>
      <w:r>
        <w:rPr>
          <w:b/>
        </w:rPr>
        <w:t xml:space="preserve">Impacto. </w:t>
      </w:r>
      <w:r>
        <w:t>El correo editable se utiliza como prueba de autoridad. Bajo esa condición, un usuario podría resolver una autorización que corresponde al jefe registrado. No se ejecutó una explotación contra cuentas reales.</w:t>
      </w:r>
    </w:p>
    <w:p>
      <w:r>
        <w:rPr>
          <w:b/>
        </w:rPr>
        <w:t xml:space="preserve">Corrección propuesta. </w:t>
      </w:r>
      <w:r>
        <w:t>Vincular la autorización a un ID de usuario asociado de forma controlada al jefe institucional. Tratar los cambios de correo como cambios de contacto y verificar su propiedad cuando corresponda; no derivar permisos de ese dato editable.</w:t>
      </w:r>
    </w:p>
    <w:p>
      <w:r>
        <w:rPr>
          <w:b/>
        </w:rPr>
        <w:t xml:space="preserve">Criterio de aceptación. </w:t>
      </w:r>
      <w:r>
        <w:t>Modificar el correo de un usuario no debe conceder autorización para aprobar movimientos de otra persona. Cubrir correo de jefe no registrado, cambios de correo y sustitución de jefatura.</w:t>
      </w:r>
    </w:p>
    <w:p>
      <w:pPr>
        <w:pStyle w:val="Referenciatecnica"/>
      </w:pPr>
      <w:r>
        <w:t>backend/controllers/authController.js:235, 247</w:t>
      </w:r>
    </w:p>
    <w:p>
      <w:pPr>
        <w:pStyle w:val="Referenciatecnica"/>
      </w:pPr>
      <w:r>
        <w:t>backend/controllers/movimientosController.js:196, 197</w:t>
      </w:r>
    </w:p>
    <w:p>
      <w:pPr>
        <w:pStyle w:val="Referenciatecnica"/>
      </w:pPr>
      <w:r>
        <w:t>backend/routes/movimientos.js:10</w:t>
      </w:r>
    </w:p>
    <w:p>
      <w:pPr>
        <w:pStyle w:val="Heading2"/>
      </w:pPr>
      <w:r>
        <w:t>H08 El arranque puede restablecer credenciales y reactivar cuentas</w:t>
      </w:r>
    </w:p>
    <w:p>
      <w:r>
        <w:rPr>
          <w:b/>
        </w:rPr>
        <w:t xml:space="preserve">Clasificación </w:t>
      </w:r>
      <w:r>
        <w:t>ALTO | Inspección estática con condición de entorno</w:t>
      </w:r>
    </w:p>
    <w:p>
      <w:r>
        <w:rPr>
          <w:b/>
        </w:rPr>
        <w:t xml:space="preserve">Hallazgo. </w:t>
      </w:r>
      <w:r>
        <w:t>Cuando NODE_ENV no es production y SEED_DEFAULT_USERS no es false, el arranque ejecuta seedDefaultUsers(). Su ON CONFLICT DO UPDATE sobrescribe contraseñas con valores definidos en el código y vuelve a activar las cuentas. Una variable NODE_ENV ausente también satisface la condición.</w:t>
      </w:r>
    </w:p>
    <w:p>
      <w:r>
        <w:rPr>
          <w:b/>
        </w:rPr>
        <w:t xml:space="preserve">Impacto. </w:t>
      </w:r>
      <w:r>
        <w:t>Un reinicio puede revertir cambios de contraseña y deshabilitaciones de cuentas predeterminadas. El riesgo aumenta si una instancia de desarrollo utiliza una base compartida. No se verificó que esta condición esté activa en producción.</w:t>
      </w:r>
    </w:p>
    <w:p>
      <w:r>
        <w:rPr>
          <w:b/>
        </w:rPr>
        <w:t xml:space="preserve">Corrección propuesta. </w:t>
      </w:r>
      <w:r>
        <w:t>Retirar la inicialización de usuarios del arranque ordinario. Implementar un comando explícito, restringido al entorno previsto, que no modifique cuentas existentes y que no dependa de credenciales fijas incluidas en el código.</w:t>
      </w:r>
    </w:p>
    <w:p>
      <w:r>
        <w:rPr>
          <w:b/>
        </w:rPr>
        <w:t xml:space="preserve">Criterio de aceptación. </w:t>
      </w:r>
      <w:r>
        <w:t>Reiniciar el backend no debe alterar contraseñas, roles ni estados de cuentas existentes. La creación inicial debe requerir una ejecución explícita y fallar de forma segura si el entorno no está autorizado.</w:t>
      </w:r>
    </w:p>
    <w:p>
      <w:pPr>
        <w:pStyle w:val="Referenciatecnica"/>
      </w:pPr>
      <w:r>
        <w:t>backend/server.js:58, 59</w:t>
      </w:r>
    </w:p>
    <w:p>
      <w:pPr>
        <w:pStyle w:val="Referenciatecnica"/>
      </w:pPr>
      <w:r>
        <w:t>backend/utils/auth.js:112, 120, 124, 125, 126</w:t>
      </w:r>
    </w:p>
    <w:p>
      <w:r>
        <w:br w:type="page"/>
      </w:r>
    </w:p>
    <w:p>
      <w:pPr>
        <w:pStyle w:val="Heading1"/>
      </w:pPr>
      <w:r>
        <w:t>7 Hallazgos de disponibilidad funcional</w:t>
      </w:r>
    </w:p>
    <w:p>
      <w:pPr>
        <w:pStyle w:val="Heading2"/>
      </w:pPr>
      <w:r>
        <w:t>H09 El cambio de contraseña del perfil devuelve un error</w:t>
      </w:r>
    </w:p>
    <w:p>
      <w:r>
        <w:rPr>
          <w:b/>
        </w:rPr>
        <w:t xml:space="preserve">Clasificación </w:t>
      </w:r>
      <w:r>
        <w:t>MEDIO | Reproducción aislada</w:t>
      </w:r>
    </w:p>
    <w:p>
      <w:r>
        <w:rPr>
          <w:b/>
        </w:rPr>
        <w:t xml:space="preserve">Hallazgo. </w:t>
      </w:r>
      <w:r>
        <w:t>updateProfile() llama a hashPassword() cuando recibe una nueva contraseña, pero esa función no está importada en el módulo. La reproducción devolvió HTTP 500 con el mensaje hashPassword is not defined.</w:t>
      </w:r>
    </w:p>
    <w:p>
      <w:r>
        <w:rPr>
          <w:b/>
        </w:rPr>
        <w:t xml:space="preserve">Impacto. </w:t>
      </w:r>
      <w:r>
        <w:t>El usuario no puede completar el cambio de contraseña desde su perfil. La respuesta expone además un detalle interno de implementación.</w:t>
      </w:r>
    </w:p>
    <w:p>
      <w:r>
        <w:rPr>
          <w:b/>
        </w:rPr>
        <w:t xml:space="preserve">Corrección propuesta. </w:t>
      </w:r>
      <w:r>
        <w:t>Importar la función, revisar la validación de contraseñas y normalizar la respuesta de error. Añadir una regla de análisis estático para símbolos no definidos y una prueba del flujo completo.</w:t>
      </w:r>
    </w:p>
    <w:p>
      <w:r>
        <w:rPr>
          <w:b/>
        </w:rPr>
        <w:t xml:space="preserve">Criterio de aceptación. </w:t>
      </w:r>
      <w:r>
        <w:t>El cambio debe persistir un hash válido y permitir iniciar sesión con la nueva contraseña. La anterior debe dejar de funcionar; la política de revocación de sesiones debe quedar definida y probada.</w:t>
      </w:r>
    </w:p>
    <w:p>
      <w:pPr>
        <w:pStyle w:val="Referenciatecnica"/>
      </w:pPr>
      <w:r>
        <w:t>backend/controllers/authController.js:1, 243</w:t>
      </w:r>
    </w:p>
    <w:p>
      <w:pPr>
        <w:pStyle w:val="Heading2"/>
      </w:pPr>
      <w:r>
        <w:t>H10 Un documento opcional ausente rompe el listado de bajas</w:t>
      </w:r>
    </w:p>
    <w:p>
      <w:r>
        <w:rPr>
          <w:b/>
        </w:rPr>
        <w:t xml:space="preserve">Clasificación </w:t>
      </w:r>
      <w:r>
        <w:t>MEDIO | Reproducción aislada con almacenamiento simulado</w:t>
      </w:r>
    </w:p>
    <w:p>
      <w:r>
        <w:rPr>
          <w:b/>
        </w:rPr>
        <w:t xml:space="preserve">Hallazgo. </w:t>
      </w:r>
      <w:r>
        <w:t>getBajas() llama a createEvidenceUrl() para documento_sustentatorio aun cuando el campo es null. La función de codificación intenta ejecutar split sobre ese valor. Una sola baja sin documento puede hacer fallar la respuesta completa del listado.</w:t>
      </w:r>
    </w:p>
    <w:p>
      <w:r>
        <w:rPr>
          <w:b/>
        </w:rPr>
        <w:t xml:space="preserve">Impacto. </w:t>
      </w:r>
      <w:r>
        <w:t>Un dato permitido por el formulario y el modelo provoca HTTP 500 e impide consultar las demás bajas. La reproducción confirmó la excepción sin realizar peticiones a Supabase.</w:t>
      </w:r>
    </w:p>
    <w:p>
      <w:r>
        <w:rPr>
          <w:b/>
        </w:rPr>
        <w:t xml:space="preserve">Corrección propuesta. </w:t>
      </w:r>
      <w:r>
        <w:t>Generar la URL únicamente cuando exista una ruta válida y conservar null en los campos opcionales. Definir cómo responder ante errores de firma de un archivo sin ocultar innecesariamente todos los registros.</w:t>
      </w:r>
    </w:p>
    <w:p>
      <w:r>
        <w:rPr>
          <w:b/>
        </w:rPr>
        <w:t xml:space="preserve">Criterio de aceptación. </w:t>
      </w:r>
      <w:r>
        <w:t>Listar simultáneamente bajas con y sin documento debe devolver éxito; las que no tengan sustento deben incluir null. Probar también rutas ausentes y fallos del servicio de almacenamiento.</w:t>
      </w:r>
    </w:p>
    <w:p>
      <w:pPr>
        <w:pStyle w:val="Referenciatecnica"/>
      </w:pPr>
      <w:r>
        <w:t>backend/controllers/bajasController.js:109</w:t>
      </w:r>
    </w:p>
    <w:p>
      <w:pPr>
        <w:pStyle w:val="Referenciatecnica"/>
      </w:pPr>
      <w:r>
        <w:t>backend/utils/supabaseStorage.js:36, 64</w:t>
      </w:r>
    </w:p>
    <w:p>
      <w:pPr>
        <w:pStyle w:val="Heading1"/>
      </w:pPr>
      <w:r>
        <w:t>8 Observaciones adicionales de calidad</w:t>
      </w:r>
    </w:p>
    <w:p>
      <w:r>
        <w:t>El dashboard clasifica como inactivo cualquier bien cuyo estado no sea activo, incluidos los asignados. El reporte consulta inactivo y reparacion, estados que no admite la restricción del esquema revisado. Deben alinearse las categorías y definiciones de los indicadores.</w:t>
      </w:r>
    </w:p>
    <w:p>
      <w:pPr>
        <w:pStyle w:val="Referenciatecnica"/>
      </w:pPr>
      <w:r>
        <w:t>frontend/src/components/Dashboard.jsx:4 | backend/controllers/reportesController.js:7, 8</w:t>
      </w:r>
    </w:p>
    <w:p>
      <w:r>
        <w:t>La actividad reciente y el tiempo de respuesta inferior a un segundo son contenido fijo. Presentarlos como datos operativos puede inducir a decisiones equivocadas; deben conectarse a mediciones o identificarse como contenido informativo.</w:t>
      </w:r>
    </w:p>
    <w:p>
      <w:pPr>
        <w:pStyle w:val="Referenciatecnica"/>
      </w:pPr>
      <w:r>
        <w:t>frontend/src/components/Dashboard.jsx:124, 159, 160</w:t>
      </w:r>
    </w:p>
    <w:p>
      <w:r>
        <w:br w:type="page"/>
      </w:r>
    </w:p>
    <w:p>
      <w:pPr>
        <w:pStyle w:val="Heading1"/>
      </w:pPr>
      <w:r>
        <w:t>9 Evidencia de verificación</w:t>
      </w:r>
    </w:p>
    <w:p>
      <w:r>
        <w:t>La compilación npm run build del frontend finalizó correctamente y transformó 488 módulos. Vite emitió una advertencia por fragmentos mayores de 500 kB; el de ExcelJS fue de aproximadamente 938,56 kB minificado. Esto justifica revisar su carga, pero no acredita por sí solo un problema de rendimiento percibido.</w:t>
      </w:r>
    </w:p>
    <w:p>
      <w:r>
        <w:t>La comprobación node --check de los archivos JavaScript del backend finalizó sin errores. No detecta referencias a funciones que solo fallan al ejecutarse, como la descrita en H09.</w:t>
      </w:r>
    </w:p>
    <w:p>
      <w:r>
        <w:t>Las ocho reproducciones aisladas verificaron: identidad incorrecta en refresh; error al cambiar contraseña; reversión de depreciación; autor indefinido en configuración; aceptación de baja directa y costo negativo; sustitución de asignación en aprobación; fallo del listado sin documento; y autor indefinido en baja. Se usaron dobles de SQL y fetch. Sus resultados demuestran comportamiento del código bajo esas entradas, no equivalen a ocho pruebas de integración con servicios reales.</w:t>
      </w:r>
    </w:p>
    <w:p>
      <w:r>
        <w:t>No se encontraron pruebas automatizadas ejecutables, scripts de lint ni workflows de integración continua en el repositorio revisado. TESTING.md describe la automatización como trabajo futuro. Las reproducciones de esta revisión no constituyen una suite de regresión incorporada al proyecto.</w:t>
      </w:r>
    </w:p>
    <w:p>
      <w:pPr>
        <w:pStyle w:val="Referenciatecnica"/>
      </w:pPr>
      <w:r>
        <w:t>backend/package.json:7 | frontend/package.json:6 | TESTING.md:120</w:t>
      </w:r>
    </w:p>
    <w:p>
      <w:pPr>
        <w:pStyle w:val="Heading1"/>
      </w:pPr>
      <w:r>
        <w:t>10 Plan recomendado de corrección</w:t>
      </w:r>
    </w:p>
    <w:p>
      <w:r>
        <w:rPr>
          <w:b/>
        </w:rPr>
        <w:t xml:space="preserve">Etapa 1 Identidad y acceso. </w:t>
      </w:r>
      <w:r>
        <w:t>Primero corregir H01 y H02 para disponer de una identidad consistente en toda la API. Resolver H07 y retirar la inicialización automática descrita en H08. Estos cambios deben preceder a la validación del resto de flujos, porque la identidad afecta autoría y permisos.</w:t>
      </w:r>
    </w:p>
    <w:p>
      <w:r>
        <w:rPr>
          <w:b/>
        </w:rPr>
        <w:t xml:space="preserve">Etapa 2 Integridad patrimonial. </w:t>
      </w:r>
      <w:r>
        <w:t>Corregir H03 y H04 mediante reglas centralizadas de transición y validaciones dentro de las transacciones. Resolver H10 y verificar el alta y consulta de bajas con archivos opcionales. Ejecutar pruebas de conflicto y concurrencia en una base de pruebas.</w:t>
      </w:r>
    </w:p>
    <w:p>
      <w:r>
        <w:rPr>
          <w:b/>
        </w:rPr>
        <w:t xml:space="preserve">Etapa 3 Trazabilidad y valoración. </w:t>
      </w:r>
      <w:r>
        <w:t>Corregir H05 y H06. Reconciliar indicadores, reglas de depreciación y visibilidad del historial. Si el sistema ya contiene datos operativos, evaluar por separado la necesidad de conciliación; esta revisión no demuestra que los datos existentes estén afectados.</w:t>
      </w:r>
    </w:p>
    <w:p>
      <w:r>
        <w:rPr>
          <w:b/>
        </w:rPr>
        <w:t xml:space="preserve">Etapa 4 Verificación continua. </w:t>
      </w:r>
      <w:r>
        <w:t>Resolver H09, incorporar pruebas de regresión para los diez hallazgos y configurar CI con lint, pruebas y compilación. Añadir escenarios de autorización por rol, renovación de sesión, datos opcionales y transiciones concurrentes.</w:t>
      </w:r>
    </w:p>
    <w:p>
      <w:pPr>
        <w:pStyle w:val="Heading1"/>
      </w:pPr>
      <w:r>
        <w:t>11 Condición para reconsiderar el despliegue</w:t>
      </w:r>
    </w:p>
    <w:p>
      <w:r>
        <w:t>Cerrar los hallazgos críticos y altos con evidencia reproducible, completar los flujos de perfil y bajas, y ejecutar pruebas de integración sobre PostgreSQL y almacenamiento en un entorno separado. La autorización de producción debe basarse en esos resultados y en una revisión de la configuración de despliegue. Este informe no acredita correcciones aplicadas ni certifica la seguridad del sistema.</w:t>
      </w:r>
    </w:p>
    <w:sectPr w:rsidR="00FC693F" w:rsidRPr="0006063C" w:rsidSect="00034616">
      <w:footerReference w:type="default" r:id="rId9"/>
      <w:pgSz w:w="11906" w:h="16838"/>
      <w:pgMar w:top="1077" w:right="1191" w:bottom="1020" w:left="1191"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SCA-TC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iatecnica">
    <w:name w:val="Referencia tecnica"/>
    <w:pPr>
      <w:spacing w:after="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revisión del proyecto SCA TC</dc:title>
  <dc:subject>Seguridad funcional e integridad del sistema de inventario</dc:subject>
  <dc:creator>Codex</dc:creator>
  <cp:keywords>SCA-TC, revisión técnica, autenticación, integridad, auditoría</cp:keywords>
  <dc:description>Informe de revisión de código y reproducciones aisladas</dc:description>
  <cp:lastModifiedBy/>
  <cp:revision>1</cp:revision>
  <dcterms:created xsi:type="dcterms:W3CDTF">2013-12-23T23:15:00Z</dcterms:created>
  <dcterms:modified xsi:type="dcterms:W3CDTF">2013-12-23T23:15:00Z</dcterms:modified>
  <cp:category/>
</cp:coreProperties>
</file>