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bCs/>
          <w:color w:val="000000" w:themeColor="text1"/>
          <w:sz w:val="40"/>
          <w:szCs w:val="36"/>
        </w:rPr>
      </w:pPr>
      <w:r>
        <w:rPr>
          <w:rFonts w:cs="Arial" w:ascii="Arial" w:hAnsi="Arial"/>
          <w:b/>
          <w:bCs/>
          <w:color w:val="000000" w:themeColor="text1"/>
          <w:sz w:val="40"/>
          <w:szCs w:val="36"/>
        </w:rPr>
        <w:t>Should Strong AI Have Rights?</w:t>
      </w:r>
    </w:p>
    <w:p>
      <w:pPr>
        <w:pStyle w:val="Normal"/>
        <w:jc w:val="center"/>
        <w:rPr/>
      </w:pPr>
      <w:r>
        <w:rPr>
          <w:rFonts w:cs="Arial" w:ascii="Arial" w:hAnsi="Arial"/>
          <w:color w:val="000000" w:themeColor="text1"/>
          <w:sz w:val="32"/>
          <w:szCs w:val="28"/>
        </w:rPr>
        <w:t>Clint Staley</w:t>
      </w:r>
    </w:p>
    <w:p>
      <w:pPr>
        <w:pStyle w:val="Heading2"/>
        <w:spacing w:before="280" w:after="280"/>
        <w:rPr>
          <w:rFonts w:ascii="Arial" w:hAnsi="Arial" w:cs="Arial"/>
          <w:b/>
          <w:b/>
          <w:bCs/>
          <w:color w:val="000000" w:themeColor="text1"/>
          <w:sz w:val="28"/>
          <w:szCs w:val="28"/>
          <w:highlight w:val="white"/>
          <w:u w:val="single"/>
        </w:rPr>
      </w:pPr>
      <w:r>
        <w:rPr/>
        <w:t>Bibliography</w:t>
      </w:r>
    </w:p>
    <w:p>
      <w:pPr>
        <w:pStyle w:val="Normal"/>
        <w:shd w:val="clear" w:color="auto" w:fill="FFFFFF"/>
        <w:spacing w:lineRule="auto" w:line="240" w:before="0" w:after="100"/>
        <w:rPr/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 Sprinkle, Tim (Jan 19, 2018) “Do Robots Deserve Legal Rights”</w:t>
      </w:r>
    </w:p>
    <w:p>
      <w:pPr>
        <w:pStyle w:val="Normal"/>
        <w:rPr/>
      </w:pPr>
      <w:hyperlink r:id="rId2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https://www.asme.org/topics-resources/content/do-robots-deserve-legal-rights</w:t>
        </w:r>
      </w:hyperlink>
    </w:p>
    <w:p>
      <w:pPr>
        <w:pStyle w:val="Normal"/>
        <w:rPr/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  <w:t>Somewhat longer summary of the issues, and from the main ME engineering society.  No conclusions reached.</w:t>
      </w:r>
    </w:p>
    <w:p>
      <w:pPr>
        <w:pStyle w:val="Normal"/>
        <w:shd w:val="clear" w:color="auto" w:fill="FFFFFF"/>
        <w:spacing w:lineRule="auto" w:line="240" w:before="0" w:after="100"/>
        <w:ind w:hanging="0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</w:r>
    </w:p>
    <w:p>
      <w:pPr>
        <w:pStyle w:val="Normal"/>
        <w:rPr>
          <w:rFonts w:ascii="Arial" w:hAnsi="Arial" w:eastAsia="Times New Roman" w:cs="Arial"/>
          <w:color w:val="000000" w:themeColor="text1"/>
          <w:sz w:val="27"/>
          <w:szCs w:val="27"/>
        </w:rPr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:Brooks, Rodney (October 18, 200) “Viewpoint: Will man-made robots rise up and demand their rights?”</w:t>
      </w:r>
    </w:p>
    <w:p>
      <w:pPr>
        <w:pStyle w:val="Normal"/>
        <w:rPr/>
      </w:pPr>
      <w:hyperlink r:id="rId3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https://news.mit.edu/2000/robots-1018</w:t>
        </w:r>
      </w:hyperlink>
    </w:p>
    <w:p>
      <w:pPr>
        <w:pStyle w:val="ListParagraph"/>
        <w:ind w:left="720" w:hanging="0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  <w:t xml:space="preserve">Good MIT written article covering the issues. </w:t>
      </w:r>
    </w:p>
    <w:p>
      <w:pPr>
        <w:pStyle w:val="ListParagraph"/>
        <w:ind w:left="720" w:hanging="0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</w:r>
    </w:p>
    <w:p>
      <w:pPr>
        <w:pStyle w:val="Normal"/>
        <w:shd w:val="clear" w:color="auto" w:fill="FFFFFF"/>
        <w:spacing w:lineRule="auto" w:line="240" w:before="0" w:after="100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Sherpa, “The Rights of Robots”</w:t>
      </w:r>
    </w:p>
    <w:p>
      <w:pPr>
        <w:pStyle w:val="Normal"/>
        <w:shd w:val="clear" w:color="auto" w:fill="FFFFFF"/>
        <w:spacing w:lineRule="auto" w:line="240" w:before="0" w:after="100"/>
        <w:rPr/>
      </w:pPr>
      <w:hyperlink r:id="rId4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https://www.project-sherpa.eu/the-rights-of-robots/</w:t>
        </w:r>
      </w:hyperlink>
    </w:p>
    <w:p>
      <w:pPr>
        <w:pStyle w:val="Normal"/>
        <w:shd w:val="clear" w:color="auto" w:fill="FFFFFF"/>
        <w:spacing w:lineRule="auto" w:line="240" w:before="0" w:after="100"/>
        <w:rPr>
          <w:rFonts w:ascii="Arial" w:hAnsi="Arial" w:eastAsia="Times New Roman" w:cs="Arial"/>
          <w:color w:val="000000" w:themeColor="text1"/>
          <w:sz w:val="24"/>
          <w:szCs w:val="24"/>
          <w:u w:val="single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  <w:u w:val="single"/>
        </w:rPr>
      </w:r>
    </w:p>
    <w:p>
      <w:pPr>
        <w:pStyle w:val="Normal"/>
        <w:shd w:val="clear" w:color="auto" w:fill="FFFFFF"/>
        <w:spacing w:lineRule="auto" w:line="240" w:before="0" w:after="100"/>
        <w:ind w:hanging="0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  <w:t>Nice short summary of the issues.  No conclusions reached.</w:t>
      </w:r>
    </w:p>
    <w:p>
      <w:pPr>
        <w:pStyle w:val="ListParagraph"/>
        <w:ind w:left="720" w:hanging="0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Callahan, Molly (December 8, 2017) “Should Robots Have Rights”</w:t>
      </w:r>
    </w:p>
    <w:p>
      <w:pPr>
        <w:pStyle w:val="Normal"/>
        <w:shd w:val="clear" w:color="auto" w:fill="FFFFFF"/>
        <w:spacing w:lineRule="auto" w:line="240" w:before="0" w:after="0"/>
        <w:rPr/>
      </w:pPr>
      <w:hyperlink r:id="rId5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https://news.northeastern.edu/2017/12/08/should-robots-have-rights/</w:t>
        </w:r>
      </w:hyperlink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color w:val="000000" w:themeColor="text1"/>
        </w:rPr>
      </w:pPr>
      <w:r>
        <w:rPr>
          <w:rFonts w:eastAsia="Times New Roman" w:cs="Arial" w:ascii="Arial" w:hAnsi="Arial"/>
          <w:color w:val="000000" w:themeColor="text1"/>
        </w:rPr>
      </w:r>
    </w:p>
    <w:p>
      <w:pPr>
        <w:pStyle w:val="Normal"/>
        <w:rPr/>
      </w:pPr>
      <w:r>
        <w:rPr>
          <w:rFonts w:eastAsia="Times New Roman" w:cs="Arial" w:ascii="Arial" w:hAnsi="Arial"/>
          <w:b/>
          <w:bCs/>
          <w:color w:val="000000" w:themeColor="text1"/>
          <w:sz w:val="27"/>
          <w:szCs w:val="27"/>
          <w:u w:val="single"/>
        </w:rPr>
        <w:t>Serious, scholarly articles</w:t>
      </w:r>
    </w:p>
    <w:p>
      <w:pPr>
        <w:pStyle w:val="Normal"/>
        <w:rPr/>
      </w:pPr>
      <w:r>
        <w:rPr>
          <w:rFonts w:cs="Arial" w:ascii="Arial" w:hAnsi="Arial"/>
          <w:b/>
          <w:bCs/>
          <w:color w:val="000000" w:themeColor="text1"/>
          <w:sz w:val="24"/>
          <w:shd w:fill="FFFFFF" w:val="clear"/>
        </w:rPr>
        <w:t>Assigned</w:t>
      </w:r>
      <w:r>
        <w:rPr>
          <w:rFonts w:cs="Arial" w:ascii="Arial" w:hAnsi="Arial"/>
          <w:color w:val="000000" w:themeColor="text1"/>
          <w:sz w:val="24"/>
          <w:shd w:fill="FFFFFF" w:val="clear"/>
        </w:rPr>
        <w:t>: Andreotta, Adam J. (May 30, 2020) “The hard problem of AI rights”</w:t>
      </w:r>
    </w:p>
    <w:p>
      <w:pPr>
        <w:pStyle w:val="Normal"/>
        <w:rPr/>
      </w:pPr>
      <w:hyperlink r:id="rId6" w:tgtFrame="_blank">
        <w:r>
          <w:rPr>
            <w:rStyle w:val="InternetLink"/>
            <w:rFonts w:cs="Arial" w:ascii="Arial" w:hAnsi="Arial"/>
            <w:color w:val="000000" w:themeColor="text1"/>
            <w:highlight w:val="white"/>
          </w:rPr>
          <w:t>https://link.springer.com/article/10.1007%2Fs00146-020-00997-x</w:t>
        </w:r>
      </w:hyperlink>
    </w:p>
    <w:p>
      <w:pPr>
        <w:pStyle w:val="Normal"/>
        <w:rPr/>
      </w:pPr>
      <w:r>
        <w:rPr>
          <w:rFonts w:cs="Arial" w:ascii="Arial" w:hAnsi="Arial"/>
          <w:b w:val="false"/>
          <w:bCs w:val="false"/>
          <w:i/>
          <w:iCs/>
          <w:color w:val="000000" w:themeColor="text1"/>
          <w:sz w:val="24"/>
          <w:shd w:fill="FFFFFF" w:val="clear"/>
        </w:rPr>
        <w:t>Of various seriously scholarly articles this is perhaps the most useful.  Addresses the "hard problem" of consciousness, and has some memorable example experiments like the one invo</w:t>
      </w:r>
      <w:r>
        <w:rPr/>
        <w:commentReference w:id="0"/>
      </w:r>
      <w:r>
        <w:rPr>
          <w:rFonts w:cs="Arial" w:ascii="Arial" w:hAnsi="Arial"/>
          <w:b w:val="false"/>
          <w:bCs w:val="false"/>
          <w:i/>
          <w:iCs/>
          <w:color w:val="000000" w:themeColor="text1"/>
          <w:sz w:val="24"/>
          <w:shd w:fill="FFFFFF" w:val="clear"/>
        </w:rPr>
        <w:t>lving taking hammers to Nanos.</w:t>
      </w:r>
    </w:p>
    <w:p>
      <w:pPr>
        <w:pStyle w:val="Normal"/>
        <w:rPr/>
      </w:pPr>
      <w:r>
        <w:rPr>
          <w:rFonts w:cs="Arial" w:ascii="Arial" w:hAnsi="Arial"/>
          <w:b/>
          <w:bCs/>
          <w:color w:val="000000" w:themeColor="text1"/>
          <w:sz w:val="24"/>
          <w:shd w:fill="FFFFFF" w:val="clear"/>
        </w:rPr>
        <w:t>Assigned (minus sect 3 and 4)</w:t>
      </w:r>
      <w:r>
        <w:rPr>
          <w:rFonts w:cs="Arial" w:ascii="Arial" w:hAnsi="Arial"/>
          <w:color w:val="000000" w:themeColor="text1"/>
          <w:sz w:val="24"/>
          <w:shd w:fill="FFFFFF" w:val="clear"/>
        </w:rPr>
        <w:t>:  Hauser, Larry (Internet Encyclopedia of Philosophy) “Chinese Room Argument”</w:t>
      </w:r>
    </w:p>
    <w:p>
      <w:pPr>
        <w:pStyle w:val="Normal"/>
        <w:rPr/>
      </w:pPr>
      <w:hyperlink r:id="rId7">
        <w:r>
          <w:rPr>
            <w:rStyle w:val="InternetLink"/>
            <w:rFonts w:cs="Arial" w:ascii="Arial" w:hAnsi="Arial"/>
            <w:color w:val="000000" w:themeColor="text1"/>
            <w:sz w:val="24"/>
            <w:highlight w:val="white"/>
          </w:rPr>
          <w:t>https://iep.utm.edu/chineser/</w:t>
        </w:r>
      </w:hyperlink>
    </w:p>
    <w:p>
      <w:pPr>
        <w:pStyle w:val="Normal"/>
        <w:rPr/>
      </w:pPr>
      <w:r>
        <w:rPr>
          <w:rFonts w:cs="Arial" w:ascii="Arial" w:hAnsi="Arial"/>
          <w:i/>
          <w:iCs/>
          <w:color w:val="000000" w:themeColor="text1"/>
          <w:sz w:val="24"/>
          <w:shd w:fill="FFFFFF" w:val="clear"/>
        </w:rPr>
        <w:t>The Chinese Room Argument is a classic and important philosophical thought experiment on the nature of consciousness and true comprehension.</w:t>
      </w:r>
    </w:p>
    <w:p>
      <w:pPr>
        <w:pStyle w:val="Normal"/>
        <w:rPr/>
      </w:pPr>
      <w:r>
        <w:rPr>
          <w:rFonts w:cs="Arial" w:ascii="Arial" w:hAnsi="Arial"/>
          <w:color w:val="000000" w:themeColor="text1"/>
          <w:sz w:val="24"/>
          <w:shd w:fill="FFFFFF" w:val="clear"/>
        </w:rPr>
        <w:t>Mamak, Kamil “</w:t>
      </w:r>
      <w:r>
        <w:rPr>
          <w:rFonts w:cs="Arial" w:ascii="Arial" w:hAnsi="Arial"/>
          <w:color w:val="000000" w:themeColor="text1"/>
          <w:sz w:val="24"/>
        </w:rPr>
        <w:t>Whether to Save a Robot or a Human: On the Ethical and Legal Limits of Protections for Robots”</w:t>
      </w:r>
    </w:p>
    <w:p>
      <w:pPr>
        <w:pStyle w:val="Normal"/>
        <w:rPr/>
      </w:pPr>
      <w:hyperlink r:id="rId8">
        <w:r>
          <w:rPr>
            <w:rStyle w:val="InternetLink"/>
            <w:rFonts w:cs="Arial" w:ascii="Arial" w:hAnsi="Arial"/>
            <w:color w:val="000000" w:themeColor="text1"/>
            <w:sz w:val="24"/>
            <w:highlight w:val="white"/>
          </w:rPr>
          <w:t>https://www.frontiersin.org/articles/10.3389/frobt.2021.712427/full</w:t>
        </w:r>
      </w:hyperlink>
    </w:p>
    <w:p>
      <w:pPr>
        <w:pStyle w:val="Normal"/>
        <w:rPr/>
      </w:pPr>
      <w:r>
        <w:rPr>
          <w:rFonts w:cs="Arial" w:ascii="Arial" w:hAnsi="Arial"/>
          <w:i/>
          <w:iCs/>
          <w:color w:val="000000" w:themeColor="text1"/>
          <w:sz w:val="24"/>
          <w:shd w:fill="FFFFFF" w:val="clear"/>
        </w:rPr>
        <w:t>A bit quirky as an analysis, but deep reasoning, and offers a fine set of references.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Coeckelbergh, Mark “Robot rights? Towards a social-relational justification of moral consideration”</w:t>
      </w:r>
    </w:p>
    <w:p>
      <w:pPr>
        <w:pStyle w:val="Normal"/>
        <w:spacing w:lineRule="auto" w:line="240" w:before="0" w:after="0"/>
        <w:rPr/>
      </w:pPr>
      <w:hyperlink r:id="rId9">
        <w:r>
          <w:rPr>
            <w:rStyle w:val="InternetLink"/>
            <w:rFonts w:cs="Arial" w:ascii="Arial" w:hAnsi="Arial"/>
            <w:color w:val="000000" w:themeColor="text1"/>
            <w:sz w:val="24"/>
            <w:szCs w:val="24"/>
            <w:highlight w:val="white"/>
          </w:rPr>
          <w:t>https://link.springer.com/article/10.1007%2Fs10676-010-9235-5</w:t>
        </w:r>
      </w:hyperlink>
      <w:r>
        <w:rPr>
          <w:rFonts w:cs="Arial" w:ascii="Arial" w:hAnsi="Arial"/>
          <w:color w:val="000000" w:themeColor="text1"/>
          <w:sz w:val="24"/>
          <w:szCs w:val="24"/>
        </w:rPr>
        <w:br/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i/>
          <w:iCs/>
          <w:color w:val="000000" w:themeColor="text1"/>
          <w:sz w:val="24"/>
          <w:szCs w:val="24"/>
          <w:shd w:fill="FFFFFF" w:val="clear"/>
        </w:rPr>
        <w:t>Sophisticated philsophical/legal reasoning.  Suggests a new moral framework for thinking about rights of nonhuman entities. </w:t>
      </w:r>
    </w:p>
    <w:p>
      <w:pPr>
        <w:pStyle w:val="Normal"/>
        <w:spacing w:lineRule="auto" w:line="240" w:before="0" w:after="0"/>
        <w:ind w:left="1441" w:hanging="0"/>
        <w:rPr>
          <w:rFonts w:ascii="Arial" w:hAnsi="Arial" w:cs="Arial"/>
          <w:color w:val="000000" w:themeColor="text1"/>
          <w:sz w:val="24"/>
          <w:szCs w:val="24"/>
          <w:highlight w:val="white"/>
        </w:rPr>
      </w:pPr>
      <w:r>
        <w:rPr>
          <w:rFonts w:cs="Arial" w:ascii="Arial" w:hAnsi="Arial"/>
          <w:color w:val="000000" w:themeColor="text1"/>
          <w:sz w:val="24"/>
          <w:szCs w:val="24"/>
          <w:highlight w:val="white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Cole, David, The Stanford Encyclopedia of Philosophy (Winter 2020 Edition), "The Chinese Room Argument"</w:t>
      </w:r>
    </w:p>
    <w:p>
      <w:pPr>
        <w:pStyle w:val="Normal"/>
        <w:spacing w:lineRule="auto" w:line="240" w:before="0" w:after="0"/>
        <w:rPr/>
      </w:pPr>
      <w:hyperlink r:id="rId10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https://www.law.upenn.edu/live/files/3414-cole-d-the-chinese-room-argument-2014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</w:rPr>
        <w:t>Highly sophisticated coverage of the CRA, for those who want a deep philosophical analysis to go with the more readable one that was assigned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/>
          <w:bCs/>
          <w:color w:val="000000" w:themeColor="text1"/>
          <w:sz w:val="27"/>
          <w:szCs w:val="27"/>
          <w:u w:val="single"/>
        </w:rPr>
      </w:pPr>
      <w:r>
        <w:rPr>
          <w:rFonts w:eastAsia="Times New Roman" w:cs="Arial" w:ascii="Arial" w:hAnsi="Arial"/>
          <w:b/>
          <w:bCs/>
          <w:color w:val="000000" w:themeColor="text1"/>
          <w:sz w:val="27"/>
          <w:szCs w:val="27"/>
          <w:u w:val="single"/>
        </w:rPr>
        <w:t>Opinion pieces</w:t>
      </w:r>
    </w:p>
    <w:p>
      <w:pPr>
        <w:pStyle w:val="Normal"/>
        <w:shd w:val="clear" w:color="auto" w:fill="FFFFFF"/>
        <w:spacing w:lineRule="auto" w:line="240" w:before="100" w:after="100"/>
        <w:ind w:right="720" w:hanging="0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 The National Law Review (January 29, 2022) “When to Give Legal Rights to AIs? When They Can Dream”</w:t>
      </w:r>
    </w:p>
    <w:p>
      <w:pPr>
        <w:pStyle w:val="Normal"/>
        <w:shd w:val="clear" w:color="auto" w:fill="FFFFFF"/>
        <w:spacing w:lineRule="auto" w:line="240" w:before="100" w:after="100"/>
        <w:ind w:right="720" w:hanging="0"/>
        <w:rPr/>
      </w:pPr>
      <w:hyperlink r:id="rId11">
        <w:r>
          <w:rPr>
            <w:rStyle w:val="InternetLink"/>
            <w:rFonts w:eastAsia="Times New Roman" w:cs="Arial" w:ascii="Arial" w:hAnsi="Arial"/>
            <w:color w:val="000000" w:themeColor="text1"/>
            <w:sz w:val="24"/>
            <w:szCs w:val="24"/>
          </w:rPr>
          <w:t>https://www.natlawreview.com/article/when-to-give-legal-rights-to-ais-when-they-can-dream</w:t>
        </w:r>
      </w:hyperlink>
    </w:p>
    <w:p>
      <w:pPr>
        <w:pStyle w:val="ListParagraph"/>
        <w:shd w:val="clear" w:color="auto" w:fill="FFFFFF"/>
        <w:spacing w:lineRule="auto" w:line="240" w:before="100" w:after="100"/>
        <w:ind w:left="720" w:right="720" w:hanging="0"/>
        <w:contextualSpacing/>
        <w:rPr>
          <w:rFonts w:ascii="Arial" w:hAnsi="Arial" w:eastAsia="Times New Roman" w:cs="Arial"/>
          <w:color w:val="000000" w:themeColor="text1"/>
          <w:sz w:val="24"/>
          <w:szCs w:val="24"/>
          <w:u w:val="single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  <w:u w:val="single"/>
        </w:rPr>
      </w:r>
    </w:p>
    <w:p>
      <w:pPr>
        <w:pStyle w:val="Normal"/>
        <w:shd w:val="clear" w:color="auto" w:fill="FFFFFF"/>
        <w:spacing w:lineRule="auto" w:line="240" w:before="100" w:after="100"/>
        <w:ind w:right="720" w:hanging="0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 Bryson, Joanna (May 21, 2009 ) “Robots Should Be Slaves”</w:t>
      </w:r>
    </w:p>
    <w:p>
      <w:pPr>
        <w:pStyle w:val="Normal"/>
        <w:shd w:val="clear" w:color="auto" w:fill="FFFFFF"/>
        <w:spacing w:lineRule="auto" w:line="240" w:before="100" w:after="100"/>
        <w:ind w:right="720" w:hanging="0"/>
        <w:rPr/>
      </w:pPr>
      <w:hyperlink r:id="rId12">
        <w:r>
          <w:rPr>
            <w:rStyle w:val="InternetLink"/>
            <w:rFonts w:cs="Arial" w:ascii="Arial" w:hAnsi="Arial"/>
            <w:color w:val="000000" w:themeColor="text1"/>
            <w:highlight w:val="white"/>
          </w:rPr>
          <w:t>https://www.cs.bath.ac.uk/~jjb/ftp/Bryson-Slaves-Book09.pdf</w:t>
        </w:r>
      </w:hyperlink>
    </w:p>
    <w:p>
      <w:pPr>
        <w:pStyle w:val="ListParagraph"/>
        <w:shd w:val="clear" w:color="auto" w:fill="FFFFFF"/>
        <w:spacing w:lineRule="auto" w:line="240" w:before="100" w:after="100"/>
        <w:ind w:left="720" w:right="720" w:hanging="0"/>
        <w:contextualSpacing/>
        <w:rPr>
          <w:rFonts w:ascii="Arial" w:hAnsi="Arial" w:eastAsia="Times New Roman" w:cs="Arial"/>
          <w:color w:val="000000" w:themeColor="text1"/>
          <w:sz w:val="24"/>
          <w:szCs w:val="24"/>
          <w:u w:val="single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  <w:u w:val="single"/>
        </w:rPr>
      </w:r>
    </w:p>
    <w:p>
      <w:pPr>
        <w:pStyle w:val="ListParagraph"/>
        <w:shd w:val="clear" w:color="auto" w:fill="FFFFFF"/>
        <w:spacing w:lineRule="auto" w:line="240" w:before="100" w:after="100"/>
        <w:ind w:left="720" w:right="720" w:hanging="0"/>
        <w:contextualSpacing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  <w:t>Widely cited and authoritative anti-rights analysis.</w:t>
      </w:r>
    </w:p>
    <w:p>
      <w:pPr>
        <w:pStyle w:val="ListParagraph"/>
        <w:shd w:val="clear" w:color="auto" w:fill="FFFFFF"/>
        <w:spacing w:lineRule="auto" w:line="240" w:before="100" w:after="100"/>
        <w:ind w:left="720" w:right="720" w:hanging="0"/>
        <w:contextualSpacing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  <w:u w:val="none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  <w:u w:val="none"/>
        </w:rPr>
      </w:r>
    </w:p>
    <w:p>
      <w:pPr>
        <w:pStyle w:val="Normal"/>
        <w:rPr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The American Society for the Prevention of Cruelty to Robots http://www.aspcr.com/index.html</w:t>
      </w:r>
    </w:p>
    <w:p>
      <w:pPr>
        <w:pStyle w:val="Normal"/>
        <w:rPr>
          <w:rFonts w:ascii="Arial" w:hAnsi="Arial" w:eastAsia="Times New Roman" w:cs="Arial"/>
          <w:i/>
          <w:i/>
          <w:iCs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i/>
          <w:iCs/>
          <w:color w:val="000000" w:themeColor="text1"/>
          <w:sz w:val="24"/>
          <w:szCs w:val="24"/>
        </w:rPr>
        <w:t>This is rather simplistic, but illustrates how deeply some people care about the idea of AI rights.</w:t>
      </w:r>
    </w:p>
    <w:p>
      <w:pPr>
        <w:pStyle w:val="ListParagraph"/>
        <w:ind w:left="720" w:hanging="0"/>
        <w:rPr>
          <w:rFonts w:ascii="Arial" w:hAnsi="Arial" w:eastAsia="Times New Roman" w:cs="Arial"/>
          <w:color w:val="000000" w:themeColor="text1"/>
          <w:sz w:val="27"/>
          <w:szCs w:val="27"/>
        </w:rPr>
      </w:pPr>
      <w:r>
        <w:rPr>
          <w:rFonts w:eastAsia="Times New Roman" w:cs="Arial" w:ascii="Arial" w:hAnsi="Arial"/>
          <w:color w:val="000000" w:themeColor="text1"/>
          <w:sz w:val="27"/>
          <w:szCs w:val="27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b/>
          <w:bCs/>
          <w:color w:val="000000" w:themeColor="text1"/>
          <w:sz w:val="27"/>
          <w:szCs w:val="27"/>
          <w:u w:val="single"/>
        </w:rPr>
      </w:pPr>
      <w:r>
        <w:rPr>
          <w:rFonts w:eastAsia="Times New Roman" w:cs="Arial" w:ascii="Arial" w:hAnsi="Arial"/>
          <w:b/>
          <w:bCs/>
          <w:color w:val="000000" w:themeColor="text1"/>
          <w:sz w:val="27"/>
          <w:szCs w:val="27"/>
          <w:u w:val="single"/>
        </w:rPr>
        <w:t xml:space="preserve">Lighter audiovisual or fiction pieces 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 Star Trek: The New Generation season 2, episode 9, “The Measure of a Man”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available to watch on Netflix with subscription, Paramount+ with subscription, Amazon Prime rental (will watch in class on Tuesday 2/1)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b/>
          <w:bCs/>
          <w:color w:val="000000" w:themeColor="text1"/>
          <w:sz w:val="24"/>
          <w:szCs w:val="24"/>
        </w:rPr>
        <w:t>Assigned</w:t>
      </w:r>
      <w:r>
        <w:rPr>
          <w:rFonts w:eastAsia="Times New Roman" w:cs="Arial" w:ascii="Arial" w:hAnsi="Arial"/>
          <w:color w:val="000000" w:themeColor="text1"/>
          <w:sz w:val="24"/>
          <w:szCs w:val="24"/>
        </w:rPr>
        <w:t>: Twilight Zone season 1, episode 7 “The Lonely”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(will watch in class on Tuesday 2/1)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Star Trek, The Original Series: “What are Little Girls Made Of”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Bladerunner 2049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  <w:t>Asimov, Isaac, “The Bicentennial Man”</w:t>
      </w:r>
    </w:p>
    <w:p>
      <w:pPr>
        <w:pStyle w:val="Normal"/>
        <w:spacing w:lineRule="auto" w:line="240" w:before="0" w:after="0"/>
        <w:rPr/>
      </w:pPr>
      <w:hyperlink r:id="rId13">
        <w:r>
          <w:rPr>
            <w:rStyle w:val="InternetLink"/>
            <w:rFonts w:eastAsia="Times New Roman" w:cs="Arial" w:ascii="Arial" w:hAnsi="Arial"/>
            <w:sz w:val="24"/>
            <w:szCs w:val="24"/>
          </w:rPr>
          <w:t>https://en.wikipedia.org/wiki/The_Bicentennial_Man</w:t>
        </w:r>
      </w:hyperlink>
    </w:p>
    <w:p>
      <w:pPr>
        <w:pStyle w:val="Heading2"/>
        <w:spacing w:before="280" w:after="280"/>
        <w:rPr/>
      </w:pPr>
      <w:r>
        <w:rPr/>
        <w:t>Suggested points of view</w:t>
      </w:r>
    </w:p>
    <w:p>
      <w:pPr>
        <w:pStyle w:val="Normal"/>
        <w:spacing w:lineRule="auto" w:line="240" w:beforeAutospacing="1" w:afterAutospacing="1"/>
        <w:ind w:left="0" w:hanging="0"/>
        <w:rPr>
          <w:rFonts w:ascii="Arial" w:hAnsi="Arial" w:eastAsia="Times New Roman" w:cs="Arial"/>
          <w:color w:val="000000" w:themeColor="text1"/>
          <w:sz w:val="27"/>
          <w:szCs w:val="27"/>
        </w:rPr>
      </w:pPr>
      <w:r>
        <w:rPr>
          <w:rFonts w:cs="Arial" w:ascii="Arial" w:hAnsi="Arial"/>
          <w:color w:val="000000" w:themeColor="text1"/>
          <w:shd w:fill="FFFFFF" w:val="clear"/>
        </w:rPr>
        <w:t>1. Any entity passing the Turing Test should be granted the same rights and moral significance as a biological human.</w:t>
      </w:r>
      <w:r>
        <w:rPr>
          <w:rFonts w:cs="Arial" w:ascii="Arial" w:hAnsi="Arial"/>
          <w:color w:val="000000" w:themeColor="text1"/>
        </w:rPr>
        <w:br/>
        <w:br/>
      </w:r>
      <w:r>
        <w:rPr>
          <w:rFonts w:cs="Arial" w:ascii="Arial" w:hAnsi="Arial"/>
          <w:color w:val="000000" w:themeColor="text1"/>
          <w:shd w:fill="FFFFFF" w:val="clear"/>
        </w:rPr>
        <w:t>2. Only biological humans are aware and have innate rights.  No matter how good the imitation, an AI is a machine without innate rights.</w:t>
      </w:r>
      <w:r>
        <w:rPr>
          <w:rFonts w:cs="Arial" w:ascii="Arial" w:hAnsi="Arial"/>
          <w:color w:val="000000" w:themeColor="text1"/>
        </w:rPr>
        <w:br/>
        <w:br/>
      </w:r>
      <w:r>
        <w:rPr>
          <w:rFonts w:cs="Arial" w:ascii="Arial" w:hAnsi="Arial"/>
          <w:color w:val="000000" w:themeColor="text1"/>
          <w:shd w:fill="FFFFFF" w:val="clear"/>
        </w:rPr>
        <w:t>3. The very creation of machines that pass the Turing Test should be outlawed since we cannot know how to treat such apparently-aware</w:t>
      </w:r>
      <w:r>
        <w:rPr>
          <w:rFonts w:cs="Arial" w:ascii="Arial" w:hAnsi="Arial"/>
          <w:color w:val="000000" w:themeColor="text1"/>
        </w:rPr>
        <w:br/>
      </w:r>
      <w:r>
        <w:rPr>
          <w:rFonts w:cs="Arial" w:ascii="Arial" w:hAnsi="Arial"/>
          <w:color w:val="000000" w:themeColor="text1"/>
          <w:shd w:fill="FFFFFF" w:val="clear"/>
        </w:rPr>
        <w:t>entities: we risk either treating a mere simulation as human, or treating a truly self-aware entity as a thing.</w:t>
      </w:r>
    </w:p>
    <w:p>
      <w:pPr>
        <w:pStyle w:val="Normal"/>
        <w:spacing w:lineRule="auto" w:line="240" w:beforeAutospacing="1" w:afterAutospacing="1"/>
        <w:ind w:left="1080" w:hanging="0"/>
        <w:rPr>
          <w:rFonts w:ascii="Arial" w:hAnsi="Arial" w:eastAsia="Times New Roman" w:cs="Arial"/>
          <w:color w:val="000000" w:themeColor="text1"/>
          <w:sz w:val="27"/>
          <w:szCs w:val="27"/>
        </w:rPr>
      </w:pPr>
      <w:r>
        <w:rPr>
          <w:rFonts w:eastAsia="Times New Roman" w:cs="Arial" w:ascii="Arial" w:hAnsi="Arial"/>
          <w:color w:val="000000" w:themeColor="text1"/>
          <w:sz w:val="27"/>
          <w:szCs w:val="27"/>
        </w:rPr>
      </w:r>
    </w:p>
    <w:p>
      <w:pPr>
        <w:pStyle w:val="NormalWeb"/>
        <w:shd w:val="clear" w:color="auto" w:fill="FFFFFF"/>
        <w:spacing w:lineRule="atLeast" w:line="195" w:before="49" w:afterAutospacing="0" w:after="0"/>
        <w:rPr>
          <w:rFonts w:ascii="Arial" w:hAnsi="Arial" w:cs="Arial"/>
          <w:color w:val="000000" w:themeColor="text1"/>
        </w:rPr>
      </w:pPr>
      <w:r>
        <w:rPr>
          <w:rFonts w:cs="Arial" w:ascii="Arial" w:hAnsi="Arial"/>
          <w:color w:val="000000" w:themeColor="text1"/>
        </w:rPr>
      </w:r>
    </w:p>
    <w:p>
      <w:pPr>
        <w:pStyle w:val="Normal"/>
        <w:spacing w:lineRule="auto" w:line="240" w:before="0" w:after="0"/>
        <w:ind w:left="720" w:hanging="0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240" w:before="0" w:after="0"/>
        <w:ind w:left="1440" w:hanging="0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000000" w:themeColor="text1"/>
          <w:sz w:val="24"/>
          <w:szCs w:val="24"/>
        </w:rPr>
      </w:pPr>
      <w:r>
        <w:rPr>
          <w:rFonts w:eastAsia="Times New Roman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240" w:beforeAutospacing="1" w:afterAutospacing="1"/>
        <w:ind w:left="1080" w:hanging="0"/>
        <w:rPr>
          <w:rFonts w:ascii="Arial" w:hAnsi="Arial" w:eastAsia="Times New Roman" w:cs="Arial"/>
          <w:color w:val="000000" w:themeColor="text1"/>
          <w:sz w:val="27"/>
          <w:szCs w:val="27"/>
        </w:rPr>
      </w:pPr>
      <w:r>
        <w:rPr>
          <w:rFonts w:eastAsia="Times New Roman" w:cs="Arial" w:ascii="Arial" w:hAnsi="Arial"/>
          <w:color w:val="000000" w:themeColor="text1"/>
          <w:sz w:val="27"/>
          <w:szCs w:val="27"/>
        </w:rPr>
      </w:r>
    </w:p>
    <w:p>
      <w:pPr>
        <w:pStyle w:val="Normal"/>
        <w:rPr>
          <w:rFonts w:ascii="Arial" w:hAnsi="Arial" w:cs="Arial"/>
          <w:color w:val="000000" w:themeColor="text1"/>
          <w:highlight w:val="white"/>
        </w:rPr>
      </w:pPr>
      <w:r>
        <w:rPr>
          <w:rFonts w:cs="Arial" w:ascii="Arial" w:hAnsi="Arial"/>
          <w:color w:val="000000" w:themeColor="text1"/>
          <w:highlight w:val="white"/>
        </w:rPr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Unknown Author" w:date="2022-01-30T08:59:43Z" w:initials="">
    <w:p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min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f5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837b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0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f1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6837ba"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837ba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837b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64f5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564f5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53700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25f1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6837b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Mb15" w:customStyle="1">
    <w:name w:val="mb15"/>
    <w:basedOn w:val="Normal"/>
    <w:qFormat/>
    <w:rsid w:val="006837b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7b9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sme.org/topics-resources/content/do-robots-deserve-legal-rights" TargetMode="External"/><Relationship Id="rId3" Type="http://schemas.openxmlformats.org/officeDocument/2006/relationships/hyperlink" Target="https://news.mit.edu/2000/robots-1018" TargetMode="External"/><Relationship Id="rId4" Type="http://schemas.openxmlformats.org/officeDocument/2006/relationships/hyperlink" Target="https://www.project-sherpa.eu/the-rights-of-robots/" TargetMode="External"/><Relationship Id="rId5" Type="http://schemas.openxmlformats.org/officeDocument/2006/relationships/hyperlink" Target="https://news.northeastern.edu/2017/12/08/should-robots-have-rights/" TargetMode="External"/><Relationship Id="rId6" Type="http://schemas.openxmlformats.org/officeDocument/2006/relationships/hyperlink" Target="https://link.springer.com/article/10.1007%2Fs00146-020-00997-x" TargetMode="External"/><Relationship Id="rId7" Type="http://schemas.openxmlformats.org/officeDocument/2006/relationships/hyperlink" Target="https://iep.utm.edu/chineser/" TargetMode="External"/><Relationship Id="rId8" Type="http://schemas.openxmlformats.org/officeDocument/2006/relationships/hyperlink" Target="https://www.frontiersin.org/articles/10.3389/frobt.2021.712427/full" TargetMode="External"/><Relationship Id="rId9" Type="http://schemas.openxmlformats.org/officeDocument/2006/relationships/hyperlink" Target="https://link.springer.com/article/10.1007%2Fs10676-010-9235-5" TargetMode="External"/><Relationship Id="rId10" Type="http://schemas.openxmlformats.org/officeDocument/2006/relationships/hyperlink" Target="https://www.law.upenn.edu/live/files/3414-cole-d-the-chinese-room-argument-2014" TargetMode="External"/><Relationship Id="rId11" Type="http://schemas.openxmlformats.org/officeDocument/2006/relationships/hyperlink" Target="https://www.natlawreview.com/article/when-to-give-legal-rights-to-ais-when-they-can-dream" TargetMode="External"/><Relationship Id="rId12" Type="http://schemas.openxmlformats.org/officeDocument/2006/relationships/hyperlink" Target="https://www.cs.bath.ac.uk/~jjb/ftp/Bryson-Slaves-Book09.pdf" TargetMode="External"/><Relationship Id="rId13" Type="http://schemas.openxmlformats.org/officeDocument/2006/relationships/hyperlink" Target="https://en.wikipedia.org/wiki/The_Bicentennial_Man" TargetMode="External"/><Relationship Id="rId14" Type="http://schemas.openxmlformats.org/officeDocument/2006/relationships/comments" Target="comments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0C4E-950B-4D3E-B50D-15926FB1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Application>LibreOffice/6.3.5.2$Windows_X86_64 LibreOffice_project/dd0751754f11728f69b42ee2af66670068624673</Application>
  <Pages>3</Pages>
  <Words>504</Words>
  <Characters>3435</Characters>
  <CharactersWithSpaces>3902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2022-01-29T17:46:00Z</dcterms:created>
  <dc:creator>Cathy Staley</dc:creator>
  <dc:description/>
  <dc:language>en-US</dc:language>
  <cp:lastModifiedBy/>
  <dcterms:modified xsi:type="dcterms:W3CDTF">2024-04-14T20:08:20Z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