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numPr>
          <w:ilvl w:val="0"/>
          <w:numId w:val="0"/>
        </w:numPr>
        <w:shd w:val="clear" w:fill="FFFFFF"/>
        <w:spacing w:lineRule="auto" w:line="240" w:before="0" w:after="280"/>
        <w:jc w:val="left"/>
        <w:outlineLvl w:val="0"/>
        <w:rPr>
          <w:rFonts w:ascii="Arial" w:hAnsi="Arial" w:eastAsia="Times New Roman" w:cs="Times New Roman"/>
          <w:kern w:val="2"/>
          <w:sz w:val="48"/>
          <w:szCs w:val="48"/>
        </w:rPr>
      </w:pPr>
      <w:r>
        <w:rPr>
          <w:rFonts w:eastAsia="Times New Roman" w:cs="Times New Roman" w:ascii="Arial" w:hAnsi="Arial"/>
          <w:kern w:val="2"/>
          <w:sz w:val="48"/>
          <w:szCs w:val="48"/>
        </w:rPr>
        <w:t>Foundations of Science I</w:t>
      </w:r>
    </w:p>
    <w:p>
      <w:pPr>
        <w:pStyle w:val="Normal"/>
        <w:numPr>
          <w:ilvl w:val="0"/>
          <w:numId w:val="0"/>
        </w:numPr>
        <w:shd w:val="clear" w:fill="FFFFFF"/>
        <w:spacing w:lineRule="auto" w:line="240" w:before="0" w:after="280"/>
        <w:jc w:val="right"/>
        <w:outlineLvl w:val="0"/>
        <w:rPr/>
      </w:pPr>
      <w:r>
        <w:rPr/>
        <w:drawing>
          <wp:inline distT="0" distB="0" distL="0" distR="0">
            <wp:extent cx="3905250" cy="4305300"/>
            <wp:effectExtent l="0" t="0" r="0" b="0"/>
            <wp:docPr id="1" name="Picture 1" descr="University of Aust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versity of Austin Logo"/>
                    <pic:cNvPicPr>
                      <a:picLocks noChangeAspect="1" noChangeArrowheads="1"/>
                    </pic:cNvPicPr>
                  </pic:nvPicPr>
                  <pic:blipFill>
                    <a:blip r:embed="rId2"/>
                    <a:stretch>
                      <a:fillRect/>
                    </a:stretch>
                  </pic:blipFill>
                  <pic:spPr bwMode="auto">
                    <a:xfrm>
                      <a:off x="0" y="0"/>
                      <a:ext cx="3905250" cy="4305300"/>
                    </a:xfrm>
                    <a:prstGeom prst="rect">
                      <a:avLst/>
                    </a:prstGeom>
                  </pic:spPr>
                </pic:pic>
              </a:graphicData>
            </a:graphic>
          </wp:inline>
        </w:drawing>
      </w:r>
      <w:r>
        <w:rPr>
          <w:rFonts w:eastAsia="Times New Roman" w:cs="Times New Roman" w:ascii="Arial" w:hAnsi="Arial"/>
          <w:kern w:val="2"/>
          <w:sz w:val="32"/>
          <w:szCs w:val="32"/>
        </w:rPr>
        <w:t>INF1330 (S3&amp;S4)</w:t>
      </w:r>
    </w:p>
    <w:p>
      <w:pPr>
        <w:pStyle w:val="Normal"/>
        <w:numPr>
          <w:ilvl w:val="0"/>
          <w:numId w:val="0"/>
        </w:numPr>
        <w:pBdr>
          <w:bottom w:val="single" w:sz="6" w:space="0" w:color="002D72"/>
        </w:pBdr>
        <w:shd w:val="clear" w:fill="FFFFFF"/>
        <w:spacing w:lineRule="auto" w:line="240" w:before="280" w:after="280"/>
        <w:outlineLvl w:val="1"/>
        <w:rPr>
          <w:rFonts w:ascii="Arial" w:hAnsi="Arial" w:eastAsia="Times New Roman" w:cs="Times New Roman"/>
          <w:sz w:val="35"/>
          <w:szCs w:val="35"/>
        </w:rPr>
      </w:pPr>
      <w:r>
        <w:rPr>
          <w:rFonts w:eastAsia="Times New Roman" w:cs="Times New Roman" w:ascii="Arial" w:hAnsi="Arial"/>
          <w:sz w:val="35"/>
          <w:szCs w:val="35"/>
        </w:rPr>
        <w:t>Class Details</w:t>
      </w:r>
    </w:p>
    <w:p>
      <w:pPr>
        <w:pStyle w:val="Normal"/>
        <w:shd w:val="clear" w:fill="FFFFFF"/>
        <w:spacing w:lineRule="auto" w:line="240" w:before="0" w:after="280"/>
        <w:rPr>
          <w:rFonts w:ascii="Arial" w:hAnsi="Arial" w:eastAsia="Times New Roman" w:cs="Times New Roman"/>
          <w:b/>
          <w:b/>
          <w:bCs/>
          <w:sz w:val="21"/>
          <w:szCs w:val="21"/>
        </w:rPr>
      </w:pPr>
      <w:r>
        <w:rPr>
          <w:rFonts w:eastAsia="Times New Roman" w:cs="Times New Roman" w:ascii="Arial" w:hAnsi="Arial"/>
          <w:b/>
          <w:bCs/>
          <w:sz w:val="21"/>
          <w:szCs w:val="21"/>
        </w:rPr>
        <w:t>Credit Hours: 3</w:t>
      </w:r>
    </w:p>
    <w:p>
      <w:pPr>
        <w:pStyle w:val="Normal"/>
        <w:shd w:val="clear" w:fill="FFFFFF"/>
        <w:spacing w:lineRule="auto" w:line="240" w:before="280" w:after="150"/>
        <w:rPr/>
      </w:pPr>
      <w:r>
        <w:rPr>
          <w:rFonts w:eastAsia="Times New Roman" w:cs="Times New Roman" w:ascii="Arial" w:hAnsi="Arial"/>
          <w:b/>
          <w:bCs/>
          <w:sz w:val="21"/>
          <w:szCs w:val="21"/>
        </w:rPr>
        <w:t xml:space="preserve">Days Class Meets: </w:t>
      </w:r>
      <w:r>
        <w:rPr>
          <w:rFonts w:eastAsia="Times New Roman" w:cs="Times New Roman" w:ascii="Arial" w:hAnsi="Arial"/>
          <w:b/>
          <w:bCs/>
          <w:color w:val="auto"/>
          <w:kern w:val="0"/>
          <w:sz w:val="21"/>
          <w:szCs w:val="21"/>
          <w:lang w:val="en-US" w:eastAsia="en-US" w:bidi="ar-SA"/>
        </w:rPr>
        <w:t xml:space="preserve">T Th 8:30a-9:45a (S4) and 11:30a-12:45p (S3) </w:t>
      </w:r>
    </w:p>
    <w:p>
      <w:pPr>
        <w:pStyle w:val="Normal"/>
        <w:shd w:val="clear" w:fill="FFFFFF"/>
        <w:spacing w:lineRule="auto" w:line="240" w:before="280" w:after="150"/>
        <w:rPr/>
      </w:pPr>
      <w:r>
        <w:rPr>
          <w:rFonts w:eastAsia="Times New Roman" w:cs="Times New Roman" w:ascii="Arial" w:hAnsi="Arial"/>
          <w:b/>
          <w:bCs/>
          <w:sz w:val="21"/>
          <w:szCs w:val="21"/>
        </w:rPr>
        <w:t xml:space="preserve">Room </w:t>
      </w:r>
      <w:r>
        <w:rPr>
          <w:rFonts w:eastAsia="Times New Roman" w:cs="Times New Roman" w:ascii="Arial" w:hAnsi="Arial"/>
          <w:b/>
          <w:bCs/>
          <w:sz w:val="21"/>
          <w:szCs w:val="21"/>
        </w:rPr>
        <w:t>202 (Tocqueville)</w:t>
      </w:r>
    </w:p>
    <w:p>
      <w:pPr>
        <w:pStyle w:val="Heading2"/>
        <w:rPr/>
      </w:pPr>
      <w:r>
        <w:rPr/>
        <w:t>Instructor Information</w:t>
      </w:r>
    </w:p>
    <w:p>
      <w:pPr>
        <w:pStyle w:val="Normal"/>
        <w:rPr/>
      </w:pPr>
      <w:r>
        <w:rPr/>
        <w:t>Clinton Staley ("Clint")</w:t>
      </w:r>
    </w:p>
    <w:p>
      <w:pPr>
        <w:pStyle w:val="Normal"/>
        <w:rPr/>
      </w:pPr>
      <w:r>
        <w:rPr/>
        <w:t>Email: cstaley@uaustin.org or clintstaley@gmail.com</w:t>
      </w:r>
    </w:p>
    <w:p>
      <w:pPr>
        <w:pStyle w:val="Normal"/>
        <w:rPr/>
      </w:pPr>
      <w:bookmarkStart w:id="0" w:name="__DdeLink__221_1529134943"/>
      <w:r>
        <w:rPr/>
        <w:t xml:space="preserve">Office Hours: </w:t>
      </w:r>
      <w:r>
        <w:rPr>
          <w:rFonts w:eastAsia="Calibri" w:cs="Tahoma"/>
          <w:color w:val="auto"/>
          <w:kern w:val="0"/>
          <w:sz w:val="22"/>
          <w:szCs w:val="22"/>
          <w:lang w:val="en-US" w:eastAsia="en-US" w:bidi="ar-SA"/>
        </w:rPr>
        <w:t>M 11-1p (w/review), T 3:30-4:30p, R 1-2p, 3:30-4:30p (w/review)</w:t>
      </w:r>
      <w:bookmarkEnd w:id="0"/>
    </w:p>
    <w:p>
      <w:pPr>
        <w:pStyle w:val="Normal"/>
        <w:rPr>
          <w:rFonts w:eastAsia="Calibri" w:cs="Tahoma"/>
          <w:color w:val="auto"/>
          <w:kern w:val="0"/>
          <w:sz w:val="22"/>
          <w:szCs w:val="22"/>
          <w:lang w:val="en-US" w:eastAsia="en-US" w:bidi="ar-SA"/>
        </w:rPr>
      </w:pPr>
      <w:r>
        <w:rPr>
          <w:rFonts w:eastAsia="Calibri" w:cs="Tahoma"/>
          <w:color w:val="auto"/>
          <w:kern w:val="0"/>
          <w:sz w:val="22"/>
          <w:szCs w:val="22"/>
          <w:lang w:val="en-US" w:eastAsia="en-US" w:bidi="ar-SA"/>
        </w:rPr>
        <w:t>Zoom Office Hours: MW 9:30p-10p</w:t>
      </w:r>
    </w:p>
    <w:p>
      <w:pPr>
        <w:pStyle w:val="Heading2"/>
        <w:rPr>
          <w:rFonts w:eastAsia="Times New Roman" w:cs="Times New Roman"/>
          <w:b/>
          <w:b/>
          <w:bCs/>
          <w:sz w:val="36"/>
          <w:szCs w:val="36"/>
        </w:rPr>
      </w:pPr>
      <w:r>
        <w:rPr>
          <w:rFonts w:eastAsia="Times New Roman" w:cs="Times New Roman"/>
          <w:b/>
          <w:bCs/>
          <w:sz w:val="36"/>
          <w:szCs w:val="36"/>
        </w:rPr>
        <w:t>Texts</w:t>
      </w:r>
    </w:p>
    <w:p>
      <w:pPr>
        <w:pStyle w:val="Normal"/>
        <w:shd w:val="clear" w:fill="FFFFFF"/>
        <w:spacing w:lineRule="auto" w:line="240" w:before="0" w:after="0"/>
        <w:rPr/>
      </w:pPr>
      <w:r>
        <w:rPr>
          <w:sz w:val="22"/>
        </w:rPr>
        <w:t xml:space="preserve">Hewitt, </w:t>
      </w:r>
      <w:r>
        <w:rPr>
          <w:i/>
          <w:sz w:val="22"/>
        </w:rPr>
        <w:t>Conceptual Physics</w:t>
      </w:r>
      <w:r>
        <w:rPr>
          <w:i w:val="false"/>
          <w:sz w:val="22"/>
        </w:rPr>
        <w:t xml:space="preserve">, any edition. Used copies of certain editions are often relatively affordable (&lt; $50), and older editions are fine. There is also a copy in the library. </w:t>
      </w:r>
    </w:p>
    <w:p>
      <w:pPr>
        <w:pStyle w:val="Heading2"/>
        <w:rPr/>
      </w:pPr>
      <w:r>
        <w:rPr/>
        <w:t>Description</w:t>
      </w:r>
    </w:p>
    <w:p>
      <w:pPr>
        <w:pStyle w:val="Normal"/>
        <w:shd w:val="clear" w:fill="FFFFFF"/>
        <w:spacing w:lineRule="auto" w:line="240" w:before="0" w:after="150"/>
        <w:rPr/>
      </w:pPr>
      <w:r>
        <w:rPr>
          <w:sz w:val="22"/>
        </w:rPr>
        <w:t>Rapid introduction to classical physics, including mechanics, thermal physics, and electricity and magnetism.   Emphasis on conceptual, intuitive mastery and quantitatively exact reasoning, with a focus on areas relevant to informed citizenship.</w:t>
      </w:r>
    </w:p>
    <w:p>
      <w:pPr>
        <w:pStyle w:val="Heading2"/>
        <w:rPr/>
      </w:pPr>
      <w:r>
        <w:rPr/>
        <w:t>Outcomes and Objectives</w:t>
      </w:r>
    </w:p>
    <w:p>
      <w:pPr>
        <w:pStyle w:val="Normal"/>
        <w:shd w:val="clear" w:fill="FFFFFF"/>
        <w:spacing w:lineRule="auto" w:line="240" w:before="0" w:after="0"/>
        <w:rPr/>
      </w:pPr>
      <w:r>
        <w:rPr>
          <w:rFonts w:eastAsia="Times New Roman" w:cs="Times New Roman" w:ascii="Arial" w:hAnsi="Arial"/>
          <w:sz w:val="21"/>
          <w:szCs w:val="21"/>
        </w:rPr>
        <w:t>Upon successful completion of this course, students should be able to do the following, in descending order of importance:</w:t>
      </w:r>
    </w:p>
    <w:p>
      <w:pPr>
        <w:pStyle w:val="Normal"/>
        <w:shd w:val="clear" w:fill="FFFFFF"/>
        <w:spacing w:lineRule="auto" w:line="240" w:before="0" w:after="0"/>
        <w:rPr>
          <w:rFonts w:ascii="Arial" w:hAnsi="Arial" w:eastAsia="Times New Roman" w:cs="Times New Roman"/>
          <w:sz w:val="21"/>
          <w:szCs w:val="21"/>
        </w:rPr>
      </w:pPr>
      <w:r>
        <w:rPr>
          <w:rFonts w:eastAsia="Times New Roman" w:cs="Times New Roman" w:ascii="Arial" w:hAnsi="Arial"/>
          <w:sz w:val="21"/>
          <w:szCs w:val="21"/>
        </w:rPr>
      </w:r>
    </w:p>
    <w:p>
      <w:pPr>
        <w:pStyle w:val="TextBody"/>
        <w:numPr>
          <w:ilvl w:val="0"/>
          <w:numId w:val="1"/>
        </w:numPr>
        <w:shd w:val="clear" w:fill="FFFFFF"/>
        <w:bidi w:val="0"/>
        <w:spacing w:lineRule="auto" w:line="288" w:before="0" w:after="0"/>
        <w:rPr/>
      </w:pPr>
      <w:r>
        <w:rPr>
          <w:rFonts w:eastAsia="Times New Roman" w:cs="Times New Roman" w:ascii="Arial;sans-serif" w:hAnsi="Arial;sans-serif"/>
          <w:b w:val="false"/>
          <w:i w:val="false"/>
          <w:caps w:val="false"/>
          <w:smallCaps w:val="false"/>
          <w:strike w:val="false"/>
          <w:dstrike w:val="false"/>
          <w:color w:val="000000"/>
          <w:sz w:val="21"/>
          <w:szCs w:val="21"/>
          <w:u w:val="none"/>
          <w:effect w:val="none"/>
        </w:rPr>
        <w:t xml:space="preserve">Demonstrate, by reasoning from physics principles, intuitive understanding of a variety of aspects of classic physics, e.g. </w:t>
      </w:r>
      <w:bookmarkStart w:id="1" w:name="docs-internal-guid-63acbe11-7fff-1f8f-75"/>
      <w:bookmarkEnd w:id="1"/>
      <w:r>
        <w:rPr>
          <w:rFonts w:eastAsia="Times New Roman" w:cs="Times New Roman" w:ascii="Arial;sans-serif" w:hAnsi="Arial;sans-serif"/>
          <w:b w:val="false"/>
          <w:i w:val="false"/>
          <w:caps w:val="false"/>
          <w:smallCaps w:val="false"/>
          <w:strike w:val="false"/>
          <w:dstrike w:val="false"/>
          <w:color w:val="222222"/>
          <w:sz w:val="22"/>
          <w:szCs w:val="21"/>
          <w:highlight w:val="white"/>
          <w:u w:val="none"/>
          <w:effect w:val="none"/>
        </w:rPr>
        <w:t>kinematics, linear and rotational motion, forces, energy, collisions, gravitation, wave motion, and simple fluids</w:t>
      </w:r>
      <w:r>
        <w:rPr>
          <w:rFonts w:eastAsia="Times New Roman" w:cs="Times New Roman" w:ascii="Arial;sans-serif" w:hAnsi="Arial;sans-serif"/>
          <w:b w:val="false"/>
          <w:i w:val="false"/>
          <w:caps w:val="false"/>
          <w:smallCaps w:val="false"/>
          <w:strike w:val="false"/>
          <w:dstrike w:val="false"/>
          <w:color w:val="000000"/>
          <w:sz w:val="21"/>
          <w:szCs w:val="21"/>
          <w:highlight w:val="white"/>
          <w:u w:val="none"/>
          <w:effect w:val="none"/>
        </w:rPr>
        <w:t>.</w:t>
      </w:r>
    </w:p>
    <w:p>
      <w:pPr>
        <w:pStyle w:val="TextBody"/>
        <w:numPr>
          <w:ilvl w:val="0"/>
          <w:numId w:val="1"/>
        </w:numPr>
        <w:shd w:val="clear" w:fill="FFFFFF"/>
        <w:bidi w:val="0"/>
        <w:spacing w:lineRule="auto" w:line="288" w:before="0" w:after="0"/>
        <w:rPr/>
      </w:pPr>
      <w:r>
        <w:rPr>
          <w:rFonts w:eastAsia="Times New Roman" w:cs="Times New Roman" w:ascii="Arial;sans-serif" w:hAnsi="Arial;sans-serif"/>
          <w:b w:val="false"/>
          <w:i w:val="false"/>
          <w:caps w:val="false"/>
          <w:smallCaps w:val="false"/>
          <w:strike w:val="false"/>
          <w:dstrike w:val="false"/>
          <w:color w:val="000000"/>
          <w:sz w:val="21"/>
          <w:szCs w:val="21"/>
          <w:highlight w:val="white"/>
          <w:u w:val="none"/>
          <w:effect w:val="none"/>
        </w:rPr>
        <w:t>Apply physics concepts to understanding practical areas such as aerospace, electrical power, transportation, communication and the environment.</w:t>
      </w:r>
    </w:p>
    <w:p>
      <w:pPr>
        <w:pStyle w:val="TextBody"/>
        <w:numPr>
          <w:ilvl w:val="0"/>
          <w:numId w:val="1"/>
        </w:numPr>
        <w:shd w:val="clear" w:fill="FFFFFF"/>
        <w:bidi w:val="0"/>
        <w:spacing w:lineRule="auto" w:line="288" w:before="0" w:after="0"/>
        <w:rPr/>
      </w:pPr>
      <w:r>
        <w:rPr>
          <w:rFonts w:eastAsia="Times New Roman" w:cs="Times New Roman" w:ascii="Arial;sans-serif" w:hAnsi="Arial;sans-serif"/>
          <w:b w:val="false"/>
          <w:i w:val="false"/>
          <w:caps w:val="false"/>
          <w:smallCaps w:val="false"/>
          <w:strike w:val="false"/>
          <w:dstrike w:val="false"/>
          <w:color w:val="000000"/>
          <w:sz w:val="21"/>
          <w:szCs w:val="21"/>
          <w:highlight w:val="white"/>
          <w:u w:val="none"/>
          <w:effect w:val="none"/>
        </w:rPr>
        <w:t>Use physics concepts and approximate mathematical reasoning to gauge the accuracy of scientific or technological statements.</w:t>
      </w:r>
    </w:p>
    <w:p>
      <w:pPr>
        <w:pStyle w:val="TextBody"/>
        <w:numPr>
          <w:ilvl w:val="0"/>
          <w:numId w:val="1"/>
        </w:numPr>
        <w:shd w:val="clear" w:fill="FFFFFF"/>
        <w:bidi w:val="0"/>
        <w:spacing w:lineRule="auto" w:line="288" w:before="0" w:after="0"/>
        <w:rPr>
          <w:rFonts w:ascii="Arial;sans-serif" w:hAnsi="Arial;sans-serif" w:eastAsia="Times New Roman" w:cs="Times New Roman"/>
          <w:b w:val="false"/>
          <w:b w:val="false"/>
          <w:i w:val="false"/>
          <w:i w:val="false"/>
          <w:caps w:val="false"/>
          <w:smallCaps w:val="false"/>
          <w:strike w:val="false"/>
          <w:dstrike w:val="false"/>
          <w:color w:val="000000"/>
          <w:sz w:val="21"/>
          <w:szCs w:val="21"/>
          <w:highlight w:val="white"/>
          <w:u w:val="none"/>
          <w:effect w:val="none"/>
        </w:rPr>
      </w:pPr>
      <w:r>
        <w:rPr>
          <w:rFonts w:eastAsia="Times New Roman" w:cs="Times New Roman" w:ascii="Arial;sans-serif" w:hAnsi="Arial;sans-serif"/>
          <w:b w:val="false"/>
          <w:i w:val="false"/>
          <w:caps w:val="false"/>
          <w:smallCaps w:val="false"/>
          <w:strike w:val="false"/>
          <w:dstrike w:val="false"/>
          <w:color w:val="000000"/>
          <w:sz w:val="21"/>
          <w:szCs w:val="21"/>
          <w:highlight w:val="white"/>
          <w:u w:val="none"/>
          <w:effect w:val="none"/>
        </w:rPr>
        <w:t>Apply the history of science and technology to understanding current issues in science and tech.</w:t>
      </w:r>
    </w:p>
    <w:p>
      <w:pPr>
        <w:pStyle w:val="TextBody"/>
        <w:numPr>
          <w:ilvl w:val="0"/>
          <w:numId w:val="1"/>
        </w:numPr>
        <w:shd w:val="clear" w:fill="FFFFFF"/>
        <w:bidi w:val="0"/>
        <w:spacing w:lineRule="auto" w:line="288" w:before="0" w:after="0"/>
        <w:rPr/>
      </w:pPr>
      <w:r>
        <w:rPr>
          <w:rFonts w:eastAsia="Times New Roman" w:cs="Times New Roman" w:ascii="Arial;sans-serif" w:hAnsi="Arial;sans-serif"/>
          <w:b w:val="false"/>
          <w:i w:val="false"/>
          <w:caps w:val="false"/>
          <w:smallCaps w:val="false"/>
          <w:strike w:val="false"/>
          <w:dstrike w:val="false"/>
          <w:color w:val="000000"/>
          <w:sz w:val="21"/>
          <w:szCs w:val="21"/>
          <w:highlight w:val="white"/>
          <w:u w:val="none"/>
          <w:effect w:val="none"/>
        </w:rPr>
        <w:t>Use metric units directly and intuitively, not just by translation from SAE units</w:t>
      </w:r>
    </w:p>
    <w:p>
      <w:pPr>
        <w:pStyle w:val="Heading2"/>
        <w:rPr/>
      </w:pPr>
      <w:r>
        <w:rPr/>
        <w:t>Course Difficulty</w:t>
      </w:r>
    </w:p>
    <w:p>
      <w:pPr>
        <w:pStyle w:val="TextBody"/>
        <w:rPr/>
      </w:pPr>
      <w:r>
        <w:rPr/>
        <w:t>Given the stated goals, and just 3 units, this class will obviously be a bit of a rocket sled.</w:t>
      </w:r>
    </w:p>
    <w:p>
      <w:pPr>
        <w:pStyle w:val="TextBody"/>
        <w:rPr/>
      </w:pPr>
      <w:r>
        <w:rPr/>
        <w:t xml:space="preserve">1. Be focused in class.  We'll move quickly, and I'll ask you to think about the ideas and answer questions regarding them during lecture. </w:t>
      </w:r>
    </w:p>
    <w:p>
      <w:pPr>
        <w:pStyle w:val="TextBody"/>
        <w:rPr/>
      </w:pPr>
      <w:r>
        <w:rPr/>
        <w:t>2. Follow through with reading and homework.  I cannot cover all the concepts needed in just 2.5 meeting hours per week.  Some will necessarily come from reference material and LLMs.  This is good professional practice anyway since that's how you'll learn in a constantly changing world after you graduate from UATX.</w:t>
      </w:r>
    </w:p>
    <w:p>
      <w:pPr>
        <w:pStyle w:val="TextBody"/>
        <w:rPr/>
      </w:pPr>
      <w:r>
        <w:rPr/>
        <w:t>3. If you are confused by a concept, a class exercise, etc, *seek help in office hours* from me or the CM.</w:t>
      </w:r>
    </w:p>
    <w:p>
      <w:pPr>
        <w:pStyle w:val="Heading2"/>
        <w:rPr/>
      </w:pPr>
      <w:r>
        <w:rPr/>
        <w:t>Grading Policy</w:t>
      </w:r>
    </w:p>
    <w:tbl>
      <w:tblPr>
        <w:tblW w:w="5900" w:type="dxa"/>
        <w:jc w:val="left"/>
        <w:tblInd w:w="639" w:type="dxa"/>
        <w:tblCellMar>
          <w:top w:w="15" w:type="dxa"/>
          <w:left w:w="15" w:type="dxa"/>
          <w:bottom w:w="15" w:type="dxa"/>
          <w:right w:w="15" w:type="dxa"/>
        </w:tblCellMar>
      </w:tblPr>
      <w:tblGrid>
        <w:gridCol w:w="3136"/>
        <w:gridCol w:w="2763"/>
      </w:tblGrid>
      <w:tr>
        <w:trPr>
          <w:trHeight w:val="252" w:hRule="atLeast"/>
        </w:trPr>
        <w:tc>
          <w:tcPr>
            <w:tcW w:w="3136" w:type="dxa"/>
            <w:tcBorders>
              <w:top w:val="single" w:sz="6" w:space="0" w:color="DDDDDD"/>
              <w:left w:val="single" w:sz="6" w:space="0" w:color="DDDDDD"/>
              <w:bottom w:val="single" w:sz="6" w:space="0" w:color="DDDDDD"/>
              <w:right w:val="single" w:sz="6" w:space="0" w:color="DDDDDD"/>
            </w:tcBorders>
            <w:shd w:fill="D1D5D8"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Task</w:t>
            </w:r>
          </w:p>
        </w:tc>
        <w:tc>
          <w:tcPr>
            <w:tcW w:w="2763" w:type="dxa"/>
            <w:tcBorders>
              <w:top w:val="single" w:sz="6" w:space="0" w:color="DDDDDD"/>
              <w:left w:val="single" w:sz="6" w:space="0" w:color="DDDDDD"/>
              <w:bottom w:val="single" w:sz="6" w:space="0" w:color="DDDDDD"/>
              <w:right w:val="single" w:sz="6" w:space="0" w:color="DDDDDD"/>
            </w:tcBorders>
            <w:shd w:fill="D1D5D8"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Weight</w:t>
            </w:r>
          </w:p>
        </w:tc>
      </w:tr>
      <w:tr>
        <w:trPr>
          <w:trHeight w:val="266" w:hRule="atLeast"/>
        </w:trPr>
        <w:tc>
          <w:tcPr>
            <w:tcW w:w="3136"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Class Participation, Quizzes, LLM Studies</w:t>
            </w:r>
          </w:p>
        </w:tc>
        <w:tc>
          <w:tcPr>
            <w:tcW w:w="2763"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35%</w:t>
            </w:r>
          </w:p>
        </w:tc>
      </w:tr>
      <w:tr>
        <w:trPr>
          <w:trHeight w:val="252" w:hRule="atLeast"/>
        </w:trPr>
        <w:tc>
          <w:tcPr>
            <w:tcW w:w="3136"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Midterm (Week 6)</w:t>
            </w:r>
          </w:p>
        </w:tc>
        <w:tc>
          <w:tcPr>
            <w:tcW w:w="2763"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25%</w:t>
            </w:r>
          </w:p>
        </w:tc>
      </w:tr>
      <w:tr>
        <w:trPr>
          <w:trHeight w:val="266" w:hRule="atLeast"/>
        </w:trPr>
        <w:tc>
          <w:tcPr>
            <w:tcW w:w="3136"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Final</w:t>
            </w:r>
          </w:p>
        </w:tc>
        <w:tc>
          <w:tcPr>
            <w:tcW w:w="2763"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25%</w:t>
            </w:r>
          </w:p>
        </w:tc>
      </w:tr>
      <w:tr>
        <w:trPr>
          <w:trHeight w:val="252" w:hRule="atLeast"/>
        </w:trPr>
        <w:tc>
          <w:tcPr>
            <w:tcW w:w="3136"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Exercises</w:t>
            </w:r>
          </w:p>
        </w:tc>
        <w:tc>
          <w:tcPr>
            <w:tcW w:w="2763"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15%</w:t>
            </w:r>
          </w:p>
        </w:tc>
      </w:tr>
    </w:tbl>
    <w:p>
      <w:pPr>
        <w:pStyle w:val="Heading2"/>
        <w:rPr/>
      </w:pPr>
      <w:r>
        <w:rPr/>
        <w:t xml:space="preserve">In-Class Participation and Quizzes                                  </w:t>
      </w:r>
    </w:p>
    <w:p>
      <w:pPr>
        <w:pStyle w:val="Normal"/>
        <w:rPr/>
      </w:pPr>
      <w:r>
        <w:rPr/>
        <w:t xml:space="preserve">Course instruction will be heavily Socratic, in that: </w:t>
      </w:r>
    </w:p>
    <w:p>
      <w:pPr>
        <w:pStyle w:val="Normal"/>
        <w:numPr>
          <w:ilvl w:val="0"/>
          <w:numId w:val="2"/>
        </w:numPr>
        <w:jc w:val="both"/>
        <w:rPr/>
      </w:pPr>
      <w:r>
        <w:rPr/>
        <w:t xml:space="preserve">Lectures will frequently include questions extending on the content.  I'll call on people at random for such questions, and your response is graded.  However, any reasonable answer that shows attention to the lecture and a sensible effort to answer will gain credit.  The one "F" answer is "What was the question again?".  </w:t>
      </w:r>
    </w:p>
    <w:p>
      <w:pPr>
        <w:pStyle w:val="Normal"/>
        <w:numPr>
          <w:ilvl w:val="0"/>
          <w:numId w:val="2"/>
        </w:numPr>
        <w:jc w:val="both"/>
        <w:rPr/>
      </w:pPr>
      <w:r>
        <w:rPr/>
        <w:t xml:space="preserve">Quizzes will be unannounced, and held in the first 3-4 minutes of class.  They will often focus on immediately prior lectures and on assigned LLM Studies.  Arrive promptly if you want the full 3-4 minutes; there are no makeups. </w:t>
      </w:r>
    </w:p>
    <w:p>
      <w:pPr>
        <w:pStyle w:val="Heading2"/>
        <w:rPr/>
      </w:pPr>
      <w:r>
        <w:rPr/>
        <w:t>Homework Levels</w:t>
      </w:r>
    </w:p>
    <w:p>
      <w:pPr>
        <w:pStyle w:val="Normal"/>
        <w:rPr/>
      </w:pPr>
      <w:r>
        <w:rPr/>
        <w:t>Homeworks may have up to three levels, labeled bronze, silver and gold.  To be eligible for 70 or better, you must complete all bronze homeworks fully correctly, for 80 or better, all bronze and silver projects, and for 90 or better, all bronze, silver and gold.  Note this is just to establish eligibility; your quiz, class participation, and test scores must also justify the grade.  If a homework is not fully correct, we'll send it back to you to be redone until it is.</w:t>
      </w:r>
    </w:p>
    <w:p>
      <w:pPr>
        <w:pStyle w:val="Heading2"/>
        <w:rPr/>
      </w:pPr>
      <w:r>
        <w:rPr/>
        <w:t>LLM Study Assignments</w:t>
      </w:r>
    </w:p>
    <w:p>
      <w:pPr>
        <w:pStyle w:val="Normal"/>
        <w:rPr/>
      </w:pPr>
      <w:r>
        <w:rPr/>
        <w:t xml:space="preserve">Along with readings from our text, I'll assign "LLM Studies".  These are organized, graded, interactions with an LLM (e.g. Claude) exploring topics related to our class content.  </w:t>
      </w:r>
    </w:p>
    <w:p>
      <w:pPr>
        <w:pStyle w:val="Heading2"/>
        <w:rPr/>
      </w:pPr>
      <w:r>
        <w:rPr/>
        <w:t>Midterm and Final</w:t>
      </w:r>
    </w:p>
    <w:p>
      <w:pPr>
        <w:pStyle w:val="Normal"/>
        <w:rPr/>
      </w:pPr>
      <w:r>
        <w:rPr/>
        <w:t xml:space="preserve">Be prepared for challenging examinations, focused on conceptual mastery, plus good vocabulary memorization.  Test scores typically average 50%, but this does not imply failure.  Measure your score against class average, not an absolute scale.  </w:t>
      </w:r>
    </w:p>
    <w:p>
      <w:pPr>
        <w:pStyle w:val="Normal"/>
        <w:rPr/>
      </w:pPr>
      <w:r>
        <w:rPr/>
        <w:t>Respecting UATX policy, when entering grades in Populi I will renormalize them to place the class average at roughly 85%.</w:t>
      </w:r>
    </w:p>
    <w:p>
      <w:pPr>
        <w:pStyle w:val="Heading2"/>
        <w:rPr/>
      </w:pPr>
      <w:r>
        <w:rPr/>
        <w:t>Accessibility Statement</w:t>
      </w:r>
    </w:p>
    <w:p>
      <w:pPr>
        <w:pStyle w:val="Normal"/>
        <w:shd w:val="clear" w:fill="FFFFFF"/>
        <w:spacing w:lineRule="auto" w:line="240" w:before="0" w:after="280"/>
        <w:rPr/>
      </w:pPr>
      <w:r>
        <w:rPr>
          <w:rFonts w:eastAsia="Times New Roman" w:cs="Times New Roman" w:ascii="Arial" w:hAnsi="Arial"/>
          <w:sz w:val="21"/>
          <w:szCs w:val="21"/>
        </w:rPr>
        <w:t>Please review the University Accessibility Statement in the student catalog. Students having special needs should contact the Polaris Center or email </w:t>
      </w:r>
      <w:hyperlink r:id="rId3">
        <w:r>
          <w:rPr>
            <w:rStyle w:val="Style"/>
            <w:rFonts w:eastAsia="Times New Roman" w:cs="Times New Roman" w:ascii="Arial" w:hAnsi="Arial"/>
            <w:color w:val="0000FF"/>
            <w:sz w:val="21"/>
            <w:szCs w:val="21"/>
            <w:u w:val="single"/>
          </w:rPr>
          <w:t>Accomodations@uaustin.org</w:t>
        </w:r>
      </w:hyperlink>
      <w:r>
        <w:rPr>
          <w:rFonts w:eastAsia="Times New Roman" w:cs="Times New Roman" w:ascii="Arial" w:hAnsi="Arial"/>
          <w:sz w:val="21"/>
          <w:szCs w:val="21"/>
        </w:rPr>
        <w:t>.</w:t>
      </w:r>
    </w:p>
    <w:p>
      <w:pPr>
        <w:pStyle w:val="Normal"/>
        <w:shd w:val="clear" w:fill="FFFFFF"/>
        <w:spacing w:lineRule="auto" w:line="240" w:before="280" w:after="0"/>
        <w:rPr>
          <w:rFonts w:ascii="Arial" w:hAnsi="Arial" w:eastAsia="Times New Roman" w:cs="Times New Roman"/>
          <w:sz w:val="21"/>
          <w:szCs w:val="21"/>
        </w:rPr>
      </w:pPr>
      <w:r>
        <w:rPr>
          <w:rFonts w:eastAsia="Times New Roman" w:cs="Times New Roman" w:ascii="Arial" w:hAnsi="Arial"/>
          <w:sz w:val="21"/>
          <w:szCs w:val="21"/>
        </w:rPr>
        <w:t>Disability Support Services: The university will make reasonable accommodations for students with disabilities in compliance with Section 504 of the Rehabilitation Act and the Americans with Disabilities Act. The purpose of accommodation is to provide equal access to educational opportunities for eligible students with academic and/or physical disabilities. </w:t>
      </w:r>
    </w:p>
    <w:p>
      <w:pPr>
        <w:pStyle w:val="Heading2"/>
        <w:rPr/>
      </w:pPr>
      <w:r>
        <w:rPr/>
        <w:t>Course Requirements</w:t>
      </w:r>
    </w:p>
    <w:p>
      <w:pPr>
        <w:pStyle w:val="Normal"/>
        <w:shd w:val="clear" w:fill="FFFFFF"/>
        <w:spacing w:lineRule="auto" w:line="240" w:before="0" w:after="150"/>
        <w:rPr>
          <w:rFonts w:ascii="Arial" w:hAnsi="Arial" w:eastAsia="Times New Roman" w:cs="Times New Roman"/>
          <w:sz w:val="21"/>
          <w:szCs w:val="21"/>
        </w:rPr>
      </w:pPr>
      <w:r>
        <w:rPr>
          <w:rFonts w:eastAsia="Times New Roman" w:cs="Times New Roman" w:ascii="Arial" w:hAnsi="Arial"/>
          <w:sz w:val="21"/>
          <w:szCs w:val="21"/>
        </w:rPr>
        <w:t>High school algebra and basic math skills.</w:t>
      </w:r>
    </w:p>
    <w:p>
      <w:pPr>
        <w:pStyle w:val="Heading2"/>
        <w:rPr/>
      </w:pPr>
      <w:r>
        <w:rPr/>
        <w:t>Electronics</w:t>
      </w:r>
    </w:p>
    <w:p>
      <w:pPr>
        <w:pStyle w:val="Normal"/>
        <w:shd w:val="clear" w:fill="FFFFFF"/>
        <w:spacing w:lineRule="auto" w:line="240" w:before="0" w:after="150"/>
        <w:rPr>
          <w:rFonts w:ascii="Arial" w:hAnsi="Arial" w:eastAsia="Times New Roman" w:cs="Times New Roman"/>
          <w:sz w:val="21"/>
          <w:szCs w:val="21"/>
        </w:rPr>
      </w:pPr>
      <w:r>
        <w:rPr>
          <w:rFonts w:eastAsia="Times New Roman" w:cs="Times New Roman" w:ascii="Arial" w:hAnsi="Arial"/>
          <w:sz w:val="21"/>
          <w:szCs w:val="21"/>
        </w:rPr>
        <w:t>You are welcome to use laptops to take notes, but the note app must be the only thing up on screen -- no browsers.  And phones are to be face down in class.</w:t>
      </w:r>
    </w:p>
    <w:p>
      <w:pPr>
        <w:pStyle w:val="Heading2"/>
        <w:rPr/>
      </w:pPr>
      <w:r>
        <w:rPr/>
        <w:t>Academic Misconduct</w:t>
      </w:r>
    </w:p>
    <w:p>
      <w:pPr>
        <w:pStyle w:val="Normal"/>
        <w:shd w:val="clear" w:fill="FFFFFF"/>
        <w:spacing w:lineRule="auto" w:line="240" w:before="0" w:after="150"/>
        <w:rPr>
          <w:rFonts w:ascii="Arial" w:hAnsi="Arial" w:eastAsia="Times New Roman" w:cs="Times New Roman"/>
          <w:sz w:val="21"/>
          <w:szCs w:val="21"/>
        </w:rPr>
      </w:pPr>
      <w:r>
        <w:rPr>
          <w:rFonts w:eastAsia="Times New Roman" w:cs="Times New Roman" w:ascii="Arial" w:hAnsi="Arial"/>
          <w:sz w:val="21"/>
          <w:szCs w:val="21"/>
        </w:rPr>
        <w:t>Instructors at UATX have the authority to assess possible plagiarism, unauthorized use of artificial intelligence, and other forms of cheating in their courses. Normally, cheating will result in failing the assignment. Students may appeal such decisions to the Disciplinary Council, where they may exercise their right to a public hearing by writing to the Dean of the Center responsible for the course.</w:t>
      </w:r>
    </w:p>
    <w:p>
      <w:pPr>
        <w:pStyle w:val="Heading2"/>
        <w:rPr/>
      </w:pPr>
      <w:r>
        <w:rPr/>
        <w:t>Syllabus Changes</w:t>
      </w:r>
    </w:p>
    <w:p>
      <w:pPr>
        <w:pStyle w:val="Normal"/>
        <w:rPr/>
      </w:pPr>
      <w:r>
        <w:rPr/>
        <w:br/>
        <w:t xml:space="preserve">The course instructor reserves the right to make changes to this published syllabus if it is in the best interest of the educational development of this class. Any such changes will be announced as soon as possible and, insofar as practical, after consultation with the whole class. </w:t>
      </w:r>
    </w:p>
    <w:p>
      <w:pPr>
        <w:pStyle w:val="Heading2"/>
        <w:rPr/>
      </w:pPr>
      <w:r>
        <w:rPr/>
        <w:t>Attendance and Tardiness Policy</w:t>
      </w:r>
    </w:p>
    <w:p>
      <w:pPr>
        <w:pStyle w:val="Normal"/>
        <w:shd w:val="clear" w:fill="FFFFFF"/>
        <w:spacing w:lineRule="auto" w:line="240" w:before="0" w:after="150"/>
        <w:rPr/>
      </w:pPr>
      <w:r>
        <w:rPr>
          <w:rFonts w:eastAsia="Times New Roman" w:cs="Times New Roman" w:ascii="Arial" w:hAnsi="Arial"/>
          <w:sz w:val="21"/>
          <w:szCs w:val="21"/>
        </w:rPr>
        <w:t>Attendance is mandatory.  Each student may be tardy 1, 2, or 3 times per course per term for a 1.5, 3, or 4.5 credit course, respectively, without penalty. Each additional unapproved late arrival results in a 0.5% final grade penalty. Being over 25 minutes late for a class is an unapproved absence</w:t>
      </w:r>
      <w:bookmarkStart w:id="2" w:name="docs-internal-guid-3e39588b-7fff-534b-bc"/>
      <w:bookmarkEnd w:id="2"/>
      <w:r>
        <w:rPr>
          <w:rFonts w:eastAsia="Times New Roman" w:cs="Times New Roman" w:ascii="Times New Roman;serif" w:hAnsi="Times New Roman;serif"/>
          <w:b/>
          <w:i w:val="false"/>
          <w:caps w:val="false"/>
          <w:smallCaps w:val="false"/>
          <w:strike w:val="false"/>
          <w:dstrike w:val="false"/>
          <w:color w:val="000000"/>
          <w:spacing w:val="0"/>
          <w:sz w:val="36"/>
          <w:szCs w:val="21"/>
          <w:u w:val="none"/>
          <w:effect w:val="none"/>
        </w:rPr>
        <w:t xml:space="preserve"> </w:t>
      </w:r>
    </w:p>
    <w:p>
      <w:pPr>
        <w:pStyle w:val="Heading2"/>
        <w:rPr/>
      </w:pPr>
      <w:r>
        <w:rPr>
          <w:rFonts w:eastAsia="Times New Roman" w:cs="Times New Roman" w:ascii="Times New Roman;serif" w:hAnsi="Times New Roman;serif"/>
          <w:b/>
          <w:i w:val="false"/>
          <w:caps w:val="false"/>
          <w:smallCaps w:val="false"/>
          <w:strike w:val="false"/>
          <w:dstrike w:val="false"/>
          <w:color w:val="000000"/>
          <w:spacing w:val="0"/>
          <w:sz w:val="36"/>
          <w:szCs w:val="21"/>
          <w:u w:val="none"/>
          <w:effect w:val="none"/>
        </w:rPr>
        <w:t>Schedule of Class (subject to change)</w:t>
      </w:r>
    </w:p>
    <w:tbl>
      <w:tblPr>
        <w:tblW w:w="5172" w:type="dxa"/>
        <w:jc w:val="left"/>
        <w:tblInd w:w="0" w:type="dxa"/>
        <w:tblCellMar>
          <w:top w:w="72" w:type="dxa"/>
          <w:left w:w="144" w:type="dxa"/>
          <w:bottom w:w="72" w:type="dxa"/>
          <w:right w:w="144" w:type="dxa"/>
        </w:tblCellMar>
      </w:tblPr>
      <w:tblGrid>
        <w:gridCol w:w="2226"/>
        <w:gridCol w:w="2945"/>
      </w:tblGrid>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Week 1</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Motion, acceleration, force, gravitation, energy</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Week 2</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Momentum, rotation</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Week 3</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Fluids, ideal gases</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Week 4</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Temperature, heat, thermodynamics</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Week 5</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Waves and sound</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Week 6</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Electrostatics, circuits</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Week 7</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Magnetism, motors, generators</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Week 8</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AC, electrical power</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Week 9</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Light and EM spectrum</w:t>
            </w:r>
          </w:p>
        </w:tc>
      </w:tr>
      <w:tr>
        <w:trPr/>
        <w:tc>
          <w:tcPr>
            <w:tcW w:w="2226"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Week 10</w:t>
            </w:r>
          </w:p>
        </w:tc>
        <w:tc>
          <w:tcPr>
            <w:tcW w:w="294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pPr>
            <w:r>
              <w:rPr>
                <w:rFonts w:ascii="Arial;sans-serif" w:hAnsi="Arial;sans-serif"/>
                <w:b w:val="false"/>
                <w:i w:val="false"/>
                <w:caps w:val="false"/>
                <w:smallCaps w:val="false"/>
                <w:strike w:val="false"/>
                <w:dstrike w:val="false"/>
                <w:color w:val="000000"/>
                <w:sz w:val="20"/>
                <w:u w:val="none"/>
                <w:effect w:val="none"/>
              </w:rPr>
              <w:t>Current Technology</w:t>
            </w:r>
          </w:p>
        </w:tc>
      </w:tr>
    </w:tbl>
    <w:p>
      <w:pPr>
        <w:pStyle w:val="Heading2"/>
        <w:rPr>
          <w:rFonts w:ascii="Times New Roman;serif" w:hAnsi="Times New Roman;serif" w:eastAsia="Times New Roman" w:cs="Times New Roman"/>
          <w:b/>
          <w:b/>
          <w:i w:val="false"/>
          <w:i w:val="false"/>
          <w:caps w:val="false"/>
          <w:smallCaps w:val="false"/>
          <w:strike w:val="false"/>
          <w:dstrike w:val="false"/>
          <w:color w:val="000000"/>
          <w:spacing w:val="0"/>
          <w:sz w:val="36"/>
          <w:szCs w:val="21"/>
          <w:u w:val="none"/>
          <w:effect w:val="none"/>
        </w:rPr>
      </w:pPr>
      <w:r>
        <w:rPr>
          <w:rFonts w:eastAsia="Times New Roman" w:cs="Times New Roman" w:ascii="Times New Roman;serif" w:hAnsi="Times New Roman;serif"/>
          <w:b/>
          <w:i w:val="false"/>
          <w:caps w:val="false"/>
          <w:smallCaps w:val="false"/>
          <w:strike w:val="false"/>
          <w:dstrike w:val="false"/>
          <w:color w:val="000000"/>
          <w:spacing w:val="0"/>
          <w:sz w:val="36"/>
          <w:szCs w:val="21"/>
          <w:u w:val="none"/>
          <w:effect w:val="none"/>
        </w:rPr>
      </w:r>
    </w:p>
    <w:p>
      <w:pPr>
        <w:sectPr>
          <w:type w:val="nextPage"/>
          <w:pgSz w:w="12240" w:h="15840"/>
          <w:pgMar w:left="1440" w:right="1440" w:header="0" w:top="1440" w:footer="0" w:bottom="1440" w:gutter="0"/>
          <w:pgNumType w:fmt="decimal"/>
          <w:formProt w:val="false"/>
          <w:textDirection w:val="lrTb"/>
          <w:docGrid w:type="default" w:linePitch="360" w:charSpace="4096"/>
        </w:sectPr>
      </w:pPr>
    </w:p>
    <w:p>
      <w:pPr>
        <w:pStyle w:val="Normal"/>
        <w:widowControl/>
        <w:spacing w:before="0" w:after="0"/>
        <w:ind w:left="0" w:right="0" w:hanging="0"/>
        <w:rPr>
          <w:rFonts w:ascii="Arial;Helvetica;sans-serif" w:hAnsi="Arial;Helvetica;sans-serif"/>
          <w:b w:val="false"/>
          <w:b w:val="false"/>
          <w:i w:val="false"/>
          <w:i w:val="false"/>
          <w:sz w:val="24"/>
        </w:rPr>
      </w:pPr>
      <w:r>
        <w:rPr>
          <w:rFonts w:ascii="Arial;Helvetica;sans-serif" w:hAnsi="Arial;Helvetica;sans-serif"/>
          <w:b w:val="false"/>
          <w:i w:val="false"/>
          <w:sz w:val="24"/>
        </w:rPr>
      </w:r>
    </w:p>
    <w:p>
      <w:pPr>
        <w:pStyle w:val="Normal"/>
        <w:shd w:val="clear" w:fill="FFFFFF"/>
        <w:spacing w:lineRule="auto" w:line="240" w:before="0" w:after="150"/>
        <w:rPr>
          <w:rFonts w:ascii="Arial" w:hAnsi="Arial" w:eastAsia="Times New Roman" w:cs="Times New Roman"/>
          <w:sz w:val="21"/>
          <w:szCs w:val="21"/>
        </w:rPr>
      </w:pPr>
      <w:r>
        <w:rPr>
          <w:rFonts w:eastAsia="Times New Roman" w:cs="Times New Roman" w:ascii="Arial" w:hAnsi="Arial"/>
          <w:sz w:val="21"/>
          <w:szCs w:val="21"/>
        </w:rPr>
      </w:r>
    </w:p>
    <w:p>
      <w:pPr>
        <w:pStyle w:val="Heading2"/>
        <w:rPr>
          <w:rFonts w:ascii="Arial" w:hAnsi="Arial" w:eastAsia="Times New Roman" w:cs="Times New Roman"/>
          <w:sz w:val="21"/>
          <w:szCs w:val="21"/>
        </w:rPr>
      </w:pPr>
      <w:r>
        <w:rPr>
          <w:rFonts w:eastAsia="Times New Roman" w:cs="Times New Roman" w:ascii="Arial" w:hAnsi="Arial"/>
          <w:sz w:val="21"/>
          <w:szCs w:val="21"/>
        </w:rPr>
      </w:r>
    </w:p>
    <w:p>
      <w:pPr>
        <w:sectPr>
          <w:type w:val="continuous"/>
          <w:pgSz w:w="12240" w:h="15840"/>
          <w:pgMar w:left="1440" w:right="1440" w:header="0" w:top="1440" w:footer="0" w:bottom="1440" w:gutter="0"/>
          <w:cols w:num="2" w:equalWidth="false" w:sep="false">
            <w:col w:w="7699" w:space="332"/>
            <w:col w:w="1328"/>
          </w:cols>
          <w:formProt w:val="false"/>
          <w:textDirection w:val="lrTb"/>
          <w:docGrid w:type="default" w:linePitch="360" w:charSpace="4096"/>
        </w:sectPr>
      </w:pPr>
    </w:p>
    <w:p>
      <w:pPr>
        <w:pStyle w:val="Normal"/>
        <w:widowControl/>
        <w:overflowPunct w:val="true"/>
        <w:bidi w:val="0"/>
        <w:spacing w:lineRule="auto" w:line="259" w:before="0" w:after="160"/>
        <w:jc w:val="left"/>
        <w:rPr/>
      </w:pPr>
      <w:r>
        <w:rPr/>
      </w:r>
    </w:p>
    <w:sectPr>
      <w:type w:val="continuous"/>
      <w:pgSz w:w="12240" w:h="15840"/>
      <w:pgMar w:left="1440" w:right="1440" w:header="0" w:top="1440" w:footer="0" w:bottom="1440" w:gutter="0"/>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w:charset w:val="00"/>
    <w:family w:val="roman"/>
    <w:pitch w:val="variable"/>
  </w:font>
  <w:font w:name="Arial">
    <w:altName w:val="sans-serif"/>
    <w:charset w:val="00"/>
    <w:family w:val="roman"/>
    <w:pitch w:val="variable"/>
  </w:font>
  <w:font w:name="Times New Roman">
    <w:altName w:val="serif"/>
    <w:charset w:val="00"/>
    <w:family w:val="roman"/>
    <w:pitch w:val="variable"/>
  </w:font>
  <w:font w:name="Arial">
    <w:altName w:val="Helvetica"/>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sz w:val="21"/>
        <w:b w:val="false"/>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0"/>
        <w:szCs w:val="22"/>
        <w:lang w:val="en-US" w:eastAsia="en-US" w:bidi="ar-SA"/>
      </w:rPr>
    </w:rPrDefault>
    <w:pPrDefault>
      <w:pPr/>
    </w:pPrDefault>
  </w:docDefaults>
  <w:style w:type="paragraph" w:styleId="Normal">
    <w:name w:val="Normal"/>
    <w:qFormat/>
    <w:pPr>
      <w:widowControl/>
      <w:overflowPunct w:val="true"/>
      <w:bidi w:val="0"/>
      <w:spacing w:lineRule="auto" w:line="259" w:before="0" w:after="160"/>
      <w:jc w:val="left"/>
    </w:pPr>
    <w:rPr>
      <w:rFonts w:ascii="Calibri" w:hAnsi="Calibri" w:eastAsia="Calibri" w:cs="Tahoma"/>
      <w:color w:val="auto"/>
      <w:kern w:val="0"/>
      <w:sz w:val="22"/>
      <w:szCs w:val="22"/>
      <w:lang w:val="en-US" w:eastAsia="en-US" w:bidi="ar-SA"/>
    </w:rPr>
  </w:style>
  <w:style w:type="paragraph" w:styleId="Heading1">
    <w:name w:val="Heading 1"/>
    <w:basedOn w:val="Normal"/>
    <w:qFormat/>
    <w:pPr>
      <w:spacing w:lineRule="auto" w:line="240" w:before="280" w:after="280"/>
      <w:outlineLvl w:val="0"/>
    </w:pPr>
    <w:rPr>
      <w:rFonts w:ascii="Times New Roman" w:hAnsi="Times New Roman" w:eastAsia="Times New Roman" w:cs="Times New Roman"/>
      <w:b/>
      <w:bCs/>
      <w:kern w:val="2"/>
      <w:sz w:val="48"/>
      <w:szCs w:val="48"/>
    </w:rPr>
  </w:style>
  <w:style w:type="paragraph" w:styleId="Heading2">
    <w:name w:val="Heading 2"/>
    <w:basedOn w:val="Normal"/>
    <w:qFormat/>
    <w:pPr>
      <w:spacing w:lineRule="auto" w:line="240" w:before="280" w:after="280"/>
      <w:outlineLvl w:val="1"/>
    </w:pPr>
    <w:rPr>
      <w:rFonts w:ascii="Times New Roman" w:hAnsi="Times New Roman" w:eastAsia="Times New Roman" w:cs="Times New Roman"/>
      <w:b/>
      <w:bCs/>
      <w:sz w:val="36"/>
      <w:szCs w:val="36"/>
    </w:rPr>
  </w:style>
  <w:style w:type="character" w:styleId="DefaultParagraphFont">
    <w:name w:val="Default Paragraph Font"/>
    <w:qFormat/>
    <w:rPr/>
  </w:style>
  <w:style w:type="character" w:styleId="Heading1Char">
    <w:name w:val="Heading 1 Char"/>
    <w:basedOn w:val="DefaultParagraphFont"/>
    <w:qFormat/>
    <w:rPr>
      <w:rFonts w:ascii="Times New Roman" w:hAnsi="Times New Roman" w:eastAsia="Times New Roman" w:cs="Times New Roman"/>
      <w:b/>
      <w:bCs/>
      <w:kern w:val="2"/>
      <w:sz w:val="48"/>
      <w:szCs w:val="48"/>
    </w:rPr>
  </w:style>
  <w:style w:type="character" w:styleId="Heading2Char">
    <w:name w:val="Heading 2 Char"/>
    <w:basedOn w:val="DefaultParagraphFont"/>
    <w:qFormat/>
    <w:rPr>
      <w:rFonts w:ascii="Times New Roman" w:hAnsi="Times New Roman" w:eastAsia="Times New Roman" w:cs="Times New Roman"/>
      <w:b/>
      <w:bCs/>
      <w:sz w:val="36"/>
      <w:szCs w:val="36"/>
    </w:rPr>
  </w:style>
  <w:style w:type="character" w:styleId="Blocknode">
    <w:name w:val="block-node"/>
    <w:basedOn w:val="DefaultParagraphFont"/>
    <w:qFormat/>
    <w:rPr/>
  </w:style>
  <w:style w:type="character" w:styleId="Cellcontent">
    <w:name w:val="cell-content"/>
    <w:basedOn w:val="DefaultParagraphFont"/>
    <w:qFormat/>
    <w:rPr/>
  </w:style>
  <w:style w:type="character" w:styleId="Cellname">
    <w:name w:val="cell-name"/>
    <w:basedOn w:val="DefaultParagraphFont"/>
    <w:qFormat/>
    <w:rPr/>
  </w:style>
  <w:style w:type="character" w:styleId="Strong">
    <w:name w:val="Strong"/>
    <w:basedOn w:val="DefaultParagraphFont"/>
    <w:qFormat/>
    <w:rPr>
      <w:b/>
      <w:bCs/>
    </w:rPr>
  </w:style>
  <w:style w:type="character" w:styleId="InternetLink">
    <w:name w:val="Internet Link"/>
    <w:basedOn w:val="DefaultParagraphFont"/>
    <w:rPr>
      <w:color w:val="0000FF"/>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Accomodations@uaustin.org"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2820</TotalTime>
  <Application>LibreOffice/6.3.5.2$Windows_X86_64 LibreOffice_project/dd0751754f11728f69b42ee2af66670068624673</Application>
  <Pages>5</Pages>
  <Words>984</Words>
  <Characters>5374</Characters>
  <CharactersWithSpaces>6344</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2024-11-12T17:40:00Z</dcterms:created>
  <dc:creator>Vilalta, Ricardo</dc:creator>
  <dc:description/>
  <dc:language>en-US</dc:language>
  <cp:lastModifiedBy/>
  <cp:lastPrinted>2024-11-14T20:27:00Z</cp:lastPrinted>
  <dcterms:modified xsi:type="dcterms:W3CDTF">2026-03-30T09:15:29Z</dcterms:modified>
  <cp:revision>42</cp:revision>
  <dc:subject/>
  <dc:title>FS1 syllabus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d7522b83-f17d-4838-9b09-ba66fb15ea53</vt:lpwstr>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