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DA4EB" w14:textId="77777777" w:rsidR="005737B9" w:rsidRDefault="00000000">
      <w:pPr>
        <w:pStyle w:val="Title"/>
      </w:pPr>
      <w:r>
        <w:t>Day 4 — Prompt Playbook</w:t>
      </w:r>
    </w:p>
    <w:p w14:paraId="6F6CD66F" w14:textId="5D43AECA" w:rsidR="005737B9" w:rsidRDefault="00000000">
      <w:pPr>
        <w:spacing w:after="300"/>
      </w:pPr>
      <w:r>
        <w:rPr>
          <w:i/>
          <w:iCs/>
          <w:color w:val="666666"/>
        </w:rPr>
        <w:t>day4-prompt-classifier</w:t>
      </w:r>
    </w:p>
    <w:p w14:paraId="3D6B6553" w14:textId="77777777" w:rsidR="005737B9" w:rsidRDefault="00000000">
      <w:pPr>
        <w:pStyle w:val="Heading1"/>
        <w:spacing w:before="200" w:after="150"/>
      </w:pPr>
      <w:r>
        <w:t>A. Prompt Playbook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2077"/>
        <w:gridCol w:w="1143"/>
        <w:gridCol w:w="1074"/>
        <w:gridCol w:w="4799"/>
      </w:tblGrid>
      <w:tr w:rsidR="005737B9" w14:paraId="31767239" w14:textId="77777777">
        <w:trPr>
          <w:tblHeader/>
        </w:trPr>
        <w:tc>
          <w:tcPr>
            <w:tcW w:w="900" w:type="dxa"/>
            <w:shd w:val="clear" w:color="auto" w:fill="2C3E50"/>
            <w:tcMar>
              <w:top w:w="100" w:type="dxa"/>
              <w:left w:w="100" w:type="dxa"/>
              <w:bottom w:w="100" w:type="dxa"/>
              <w:right w:w="100" w:type="dxa"/>
            </w:tcMar>
          </w:tcPr>
          <w:p w14:paraId="5C1AE483" w14:textId="77777777" w:rsidR="005737B9" w:rsidRDefault="00000000">
            <w:r>
              <w:rPr>
                <w:b/>
                <w:bCs/>
                <w:color w:val="FFFFFF"/>
              </w:rPr>
              <w:t>Version</w:t>
            </w:r>
          </w:p>
        </w:tc>
        <w:tc>
          <w:tcPr>
            <w:tcW w:w="2000" w:type="dxa"/>
            <w:shd w:val="clear" w:color="auto" w:fill="2C3E50"/>
            <w:tcMar>
              <w:top w:w="100" w:type="dxa"/>
              <w:left w:w="100" w:type="dxa"/>
              <w:bottom w:w="100" w:type="dxa"/>
              <w:right w:w="100" w:type="dxa"/>
            </w:tcMar>
          </w:tcPr>
          <w:p w14:paraId="0EBD5ABF" w14:textId="77777777" w:rsidR="005737B9" w:rsidRDefault="00000000">
            <w:r>
              <w:rPr>
                <w:b/>
                <w:bCs/>
                <w:color w:val="FFFFFF"/>
              </w:rPr>
              <w:t>Technique used</w:t>
            </w:r>
          </w:p>
        </w:tc>
        <w:tc>
          <w:tcPr>
            <w:tcW w:w="1100" w:type="dxa"/>
            <w:shd w:val="clear" w:color="auto" w:fill="2C3E50"/>
            <w:tcMar>
              <w:top w:w="100" w:type="dxa"/>
              <w:left w:w="100" w:type="dxa"/>
              <w:bottom w:w="100" w:type="dxa"/>
              <w:right w:w="100" w:type="dxa"/>
            </w:tcMar>
          </w:tcPr>
          <w:p w14:paraId="114F0D1C" w14:textId="77777777" w:rsidR="005737B9" w:rsidRDefault="00000000">
            <w:r>
              <w:rPr>
                <w:b/>
                <w:bCs/>
                <w:color w:val="FFFFFF"/>
              </w:rPr>
              <w:t>Accuracy</w:t>
            </w:r>
          </w:p>
        </w:tc>
        <w:tc>
          <w:tcPr>
            <w:tcW w:w="1000" w:type="dxa"/>
            <w:shd w:val="clear" w:color="auto" w:fill="2C3E50"/>
            <w:tcMar>
              <w:top w:w="100" w:type="dxa"/>
              <w:left w:w="100" w:type="dxa"/>
              <w:bottom w:w="100" w:type="dxa"/>
              <w:right w:w="100" w:type="dxa"/>
            </w:tcMar>
          </w:tcPr>
          <w:p w14:paraId="20B695BC" w14:textId="77777777" w:rsidR="005737B9" w:rsidRDefault="00000000">
            <w:r>
              <w:rPr>
                <w:b/>
                <w:bCs/>
                <w:color w:val="FFFFFF"/>
              </w:rPr>
              <w:t>Parseable</w:t>
            </w:r>
          </w:p>
        </w:tc>
        <w:tc>
          <w:tcPr>
            <w:tcW w:w="4620" w:type="dxa"/>
            <w:shd w:val="clear" w:color="auto" w:fill="2C3E50"/>
            <w:tcMar>
              <w:top w:w="100" w:type="dxa"/>
              <w:left w:w="100" w:type="dxa"/>
              <w:bottom w:w="100" w:type="dxa"/>
              <w:right w:w="100" w:type="dxa"/>
            </w:tcMar>
          </w:tcPr>
          <w:p w14:paraId="179B075E" w14:textId="77777777" w:rsidR="005737B9" w:rsidRDefault="00000000">
            <w:r>
              <w:rPr>
                <w:b/>
                <w:bCs/>
                <w:color w:val="FFFFFF"/>
              </w:rPr>
              <w:t>Main failure observed</w:t>
            </w:r>
          </w:p>
        </w:tc>
      </w:tr>
      <w:tr w:rsidR="005737B9" w14:paraId="738E32C5" w14:textId="77777777">
        <w:tc>
          <w:tcPr>
            <w:tcW w:w="900" w:type="dxa"/>
            <w:tcMar>
              <w:top w:w="100" w:type="dxa"/>
              <w:left w:w="100" w:type="dxa"/>
              <w:bottom w:w="100" w:type="dxa"/>
              <w:right w:w="100" w:type="dxa"/>
            </w:tcMar>
          </w:tcPr>
          <w:p w14:paraId="2808BCB7" w14:textId="77777777" w:rsidR="005737B9" w:rsidRDefault="00000000">
            <w:r>
              <w:rPr>
                <w:sz w:val="19"/>
                <w:szCs w:val="19"/>
              </w:rPr>
              <w:t>v1</w:t>
            </w:r>
          </w:p>
        </w:tc>
        <w:tc>
          <w:tcPr>
            <w:tcW w:w="2000" w:type="dxa"/>
            <w:tcMar>
              <w:top w:w="100" w:type="dxa"/>
              <w:left w:w="100" w:type="dxa"/>
              <w:bottom w:w="100" w:type="dxa"/>
              <w:right w:w="100" w:type="dxa"/>
            </w:tcMar>
          </w:tcPr>
          <w:p w14:paraId="723C814F" w14:textId="77777777" w:rsidR="005737B9" w:rsidRDefault="00000000">
            <w:r>
              <w:rPr>
                <w:sz w:val="19"/>
                <w:szCs w:val="19"/>
              </w:rPr>
              <w:t>Bare instruction</w:t>
            </w:r>
          </w:p>
        </w:tc>
        <w:tc>
          <w:tcPr>
            <w:tcW w:w="1100" w:type="dxa"/>
            <w:tcMar>
              <w:top w:w="100" w:type="dxa"/>
              <w:left w:w="100" w:type="dxa"/>
              <w:bottom w:w="100" w:type="dxa"/>
              <w:right w:w="100" w:type="dxa"/>
            </w:tcMar>
          </w:tcPr>
          <w:p w14:paraId="1639A2D2" w14:textId="77777777" w:rsidR="005737B9" w:rsidRDefault="00000000">
            <w:r>
              <w:rPr>
                <w:sz w:val="19"/>
                <w:szCs w:val="19"/>
              </w:rPr>
              <w:t>0/10 (0%)</w:t>
            </w:r>
          </w:p>
        </w:tc>
        <w:tc>
          <w:tcPr>
            <w:tcW w:w="1000" w:type="dxa"/>
            <w:tcMar>
              <w:top w:w="100" w:type="dxa"/>
              <w:left w:w="100" w:type="dxa"/>
              <w:bottom w:w="100" w:type="dxa"/>
              <w:right w:w="100" w:type="dxa"/>
            </w:tcMar>
          </w:tcPr>
          <w:p w14:paraId="3C281427" w14:textId="77777777" w:rsidR="005737B9" w:rsidRDefault="00000000">
            <w:r>
              <w:rPr>
                <w:sz w:val="19"/>
                <w:szCs w:val="19"/>
              </w:rPr>
              <w:t>0/10</w:t>
            </w:r>
          </w:p>
        </w:tc>
        <w:tc>
          <w:tcPr>
            <w:tcW w:w="4620" w:type="dxa"/>
            <w:tcMar>
              <w:top w:w="100" w:type="dxa"/>
              <w:left w:w="100" w:type="dxa"/>
              <w:bottom w:w="100" w:type="dxa"/>
              <w:right w:w="100" w:type="dxa"/>
            </w:tcMar>
          </w:tcPr>
          <w:p w14:paraId="6899E90B" w14:textId="77777777" w:rsidR="005737B9" w:rsidRDefault="00000000">
            <w:r>
              <w:rPr>
                <w:sz w:val="19"/>
                <w:szCs w:val="19"/>
              </w:rPr>
              <w:t>Unparseable / unstructured output — model didn't reply in a usable label format at all.</w:t>
            </w:r>
          </w:p>
        </w:tc>
      </w:tr>
      <w:tr w:rsidR="005737B9" w14:paraId="0AE6FDBF" w14:textId="77777777">
        <w:tc>
          <w:tcPr>
            <w:tcW w:w="900" w:type="dxa"/>
            <w:shd w:val="clear" w:color="auto" w:fill="F4F6F7"/>
            <w:tcMar>
              <w:top w:w="100" w:type="dxa"/>
              <w:left w:w="100" w:type="dxa"/>
              <w:bottom w:w="100" w:type="dxa"/>
              <w:right w:w="100" w:type="dxa"/>
            </w:tcMar>
          </w:tcPr>
          <w:p w14:paraId="313E9F5C" w14:textId="77777777" w:rsidR="005737B9" w:rsidRDefault="00000000">
            <w:r>
              <w:rPr>
                <w:sz w:val="19"/>
                <w:szCs w:val="19"/>
              </w:rPr>
              <w:t>v2</w:t>
            </w:r>
          </w:p>
        </w:tc>
        <w:tc>
          <w:tcPr>
            <w:tcW w:w="2000" w:type="dxa"/>
            <w:shd w:val="clear" w:color="auto" w:fill="F4F6F7"/>
            <w:tcMar>
              <w:top w:w="100" w:type="dxa"/>
              <w:left w:w="100" w:type="dxa"/>
              <w:bottom w:w="100" w:type="dxa"/>
              <w:right w:w="100" w:type="dxa"/>
            </w:tcMar>
          </w:tcPr>
          <w:p w14:paraId="4A74668F" w14:textId="77777777" w:rsidR="005737B9" w:rsidRDefault="00000000">
            <w:r>
              <w:rPr>
                <w:sz w:val="19"/>
                <w:szCs w:val="19"/>
              </w:rPr>
              <w:t>Role + definitions + rules + JSON</w:t>
            </w:r>
          </w:p>
        </w:tc>
        <w:tc>
          <w:tcPr>
            <w:tcW w:w="1100" w:type="dxa"/>
            <w:shd w:val="clear" w:color="auto" w:fill="F4F6F7"/>
            <w:tcMar>
              <w:top w:w="100" w:type="dxa"/>
              <w:left w:w="100" w:type="dxa"/>
              <w:bottom w:w="100" w:type="dxa"/>
              <w:right w:w="100" w:type="dxa"/>
            </w:tcMar>
          </w:tcPr>
          <w:p w14:paraId="6E8F697E" w14:textId="77777777" w:rsidR="005737B9" w:rsidRDefault="00000000">
            <w:r>
              <w:rPr>
                <w:sz w:val="19"/>
                <w:szCs w:val="19"/>
              </w:rPr>
              <w:t>8/10 (80%)</w:t>
            </w:r>
          </w:p>
        </w:tc>
        <w:tc>
          <w:tcPr>
            <w:tcW w:w="1000" w:type="dxa"/>
            <w:shd w:val="clear" w:color="auto" w:fill="F4F6F7"/>
            <w:tcMar>
              <w:top w:w="100" w:type="dxa"/>
              <w:left w:w="100" w:type="dxa"/>
              <w:bottom w:w="100" w:type="dxa"/>
              <w:right w:w="100" w:type="dxa"/>
            </w:tcMar>
          </w:tcPr>
          <w:p w14:paraId="0ECEF60C" w14:textId="77777777" w:rsidR="005737B9" w:rsidRDefault="00000000">
            <w:r>
              <w:rPr>
                <w:sz w:val="19"/>
                <w:szCs w:val="19"/>
              </w:rPr>
              <w:t>10/10</w:t>
            </w:r>
          </w:p>
        </w:tc>
        <w:tc>
          <w:tcPr>
            <w:tcW w:w="4620" w:type="dxa"/>
            <w:shd w:val="clear" w:color="auto" w:fill="F4F6F7"/>
            <w:tcMar>
              <w:top w:w="100" w:type="dxa"/>
              <w:left w:w="100" w:type="dxa"/>
              <w:bottom w:w="100" w:type="dxa"/>
              <w:right w:w="100" w:type="dxa"/>
            </w:tcMar>
          </w:tcPr>
          <w:p w14:paraId="34C1D3CC" w14:textId="77777777" w:rsidR="005737B9" w:rsidRDefault="00000000">
            <w:r>
              <w:rPr>
                <w:sz w:val="19"/>
                <w:szCs w:val="19"/>
              </w:rPr>
              <w:t>2 failures: money-left-account case predicted “technical” instead of “billing”; invoice-address-change case predicted “account_access” instead of “billing.”</w:t>
            </w:r>
          </w:p>
        </w:tc>
      </w:tr>
      <w:tr w:rsidR="005737B9" w14:paraId="56613006" w14:textId="77777777">
        <w:tc>
          <w:tcPr>
            <w:tcW w:w="900" w:type="dxa"/>
            <w:tcMar>
              <w:top w:w="100" w:type="dxa"/>
              <w:left w:w="100" w:type="dxa"/>
              <w:bottom w:w="100" w:type="dxa"/>
              <w:right w:w="100" w:type="dxa"/>
            </w:tcMar>
          </w:tcPr>
          <w:p w14:paraId="5AA14A8C" w14:textId="77777777" w:rsidR="005737B9" w:rsidRDefault="00000000">
            <w:r>
              <w:rPr>
                <w:sz w:val="19"/>
                <w:szCs w:val="19"/>
              </w:rPr>
              <w:t>v3</w:t>
            </w:r>
          </w:p>
        </w:tc>
        <w:tc>
          <w:tcPr>
            <w:tcW w:w="2000" w:type="dxa"/>
            <w:tcMar>
              <w:top w:w="100" w:type="dxa"/>
              <w:left w:w="100" w:type="dxa"/>
              <w:bottom w:w="100" w:type="dxa"/>
              <w:right w:w="100" w:type="dxa"/>
            </w:tcMar>
          </w:tcPr>
          <w:p w14:paraId="78B5C59B" w14:textId="77777777" w:rsidR="005737B9" w:rsidRDefault="00000000">
            <w:r>
              <w:rPr>
                <w:sz w:val="19"/>
                <w:szCs w:val="19"/>
              </w:rPr>
              <w:t>v2 + few-shot</w:t>
            </w:r>
          </w:p>
        </w:tc>
        <w:tc>
          <w:tcPr>
            <w:tcW w:w="1100" w:type="dxa"/>
            <w:tcMar>
              <w:top w:w="100" w:type="dxa"/>
              <w:left w:w="100" w:type="dxa"/>
              <w:bottom w:w="100" w:type="dxa"/>
              <w:right w:w="100" w:type="dxa"/>
            </w:tcMar>
          </w:tcPr>
          <w:p w14:paraId="706AC8F6" w14:textId="77777777" w:rsidR="005737B9" w:rsidRDefault="00000000">
            <w:r>
              <w:rPr>
                <w:sz w:val="19"/>
                <w:szCs w:val="19"/>
              </w:rPr>
              <w:t>10/10 (100%)</w:t>
            </w:r>
          </w:p>
        </w:tc>
        <w:tc>
          <w:tcPr>
            <w:tcW w:w="1000" w:type="dxa"/>
            <w:tcMar>
              <w:top w:w="100" w:type="dxa"/>
              <w:left w:w="100" w:type="dxa"/>
              <w:bottom w:w="100" w:type="dxa"/>
              <w:right w:w="100" w:type="dxa"/>
            </w:tcMar>
          </w:tcPr>
          <w:p w14:paraId="4BAC76BC" w14:textId="77777777" w:rsidR="005737B9" w:rsidRDefault="00000000">
            <w:r>
              <w:rPr>
                <w:sz w:val="19"/>
                <w:szCs w:val="19"/>
              </w:rPr>
              <w:t>10/10</w:t>
            </w:r>
          </w:p>
        </w:tc>
        <w:tc>
          <w:tcPr>
            <w:tcW w:w="4620" w:type="dxa"/>
            <w:tcMar>
              <w:top w:w="100" w:type="dxa"/>
              <w:left w:w="100" w:type="dxa"/>
              <w:bottom w:w="100" w:type="dxa"/>
              <w:right w:w="100" w:type="dxa"/>
            </w:tcMar>
          </w:tcPr>
          <w:p w14:paraId="3253DD65" w14:textId="77777777" w:rsidR="005737B9" w:rsidRDefault="00000000">
            <w:r>
              <w:rPr>
                <w:sz w:val="19"/>
                <w:szCs w:val="19"/>
              </w:rPr>
              <w:t>None — few-shot examples resolved both v2 failure cases.</w:t>
            </w:r>
          </w:p>
        </w:tc>
      </w:tr>
      <w:tr w:rsidR="005737B9" w14:paraId="2735F1B3" w14:textId="77777777">
        <w:tc>
          <w:tcPr>
            <w:tcW w:w="900" w:type="dxa"/>
            <w:shd w:val="clear" w:color="auto" w:fill="F4F6F7"/>
            <w:tcMar>
              <w:top w:w="100" w:type="dxa"/>
              <w:left w:w="100" w:type="dxa"/>
              <w:bottom w:w="100" w:type="dxa"/>
              <w:right w:w="100" w:type="dxa"/>
            </w:tcMar>
          </w:tcPr>
          <w:p w14:paraId="697C4931" w14:textId="77777777" w:rsidR="005737B9" w:rsidRDefault="00000000">
            <w:r>
              <w:rPr>
                <w:sz w:val="19"/>
                <w:szCs w:val="19"/>
              </w:rPr>
              <w:t>v4 (optional)</w:t>
            </w:r>
          </w:p>
        </w:tc>
        <w:tc>
          <w:tcPr>
            <w:tcW w:w="2000" w:type="dxa"/>
            <w:shd w:val="clear" w:color="auto" w:fill="F4F6F7"/>
            <w:tcMar>
              <w:top w:w="100" w:type="dxa"/>
              <w:left w:w="100" w:type="dxa"/>
              <w:bottom w:w="100" w:type="dxa"/>
              <w:right w:w="100" w:type="dxa"/>
            </w:tcMar>
          </w:tcPr>
          <w:p w14:paraId="6010D608" w14:textId="77777777" w:rsidR="005737B9" w:rsidRDefault="00000000">
            <w:r>
              <w:rPr>
                <w:sz w:val="19"/>
                <w:szCs w:val="19"/>
              </w:rPr>
              <w:t>Reason-then-label</w:t>
            </w:r>
          </w:p>
        </w:tc>
        <w:tc>
          <w:tcPr>
            <w:tcW w:w="1100" w:type="dxa"/>
            <w:shd w:val="clear" w:color="auto" w:fill="F4F6F7"/>
            <w:tcMar>
              <w:top w:w="100" w:type="dxa"/>
              <w:left w:w="100" w:type="dxa"/>
              <w:bottom w:w="100" w:type="dxa"/>
              <w:right w:w="100" w:type="dxa"/>
            </w:tcMar>
          </w:tcPr>
          <w:p w14:paraId="00EFED11" w14:textId="77777777" w:rsidR="005737B9" w:rsidRDefault="00000000">
            <w:r>
              <w:rPr>
                <w:sz w:val="19"/>
                <w:szCs w:val="19"/>
              </w:rPr>
              <w:t>10/10 (100%)</w:t>
            </w:r>
          </w:p>
        </w:tc>
        <w:tc>
          <w:tcPr>
            <w:tcW w:w="1000" w:type="dxa"/>
            <w:shd w:val="clear" w:color="auto" w:fill="F4F6F7"/>
            <w:tcMar>
              <w:top w:w="100" w:type="dxa"/>
              <w:left w:w="100" w:type="dxa"/>
              <w:bottom w:w="100" w:type="dxa"/>
              <w:right w:w="100" w:type="dxa"/>
            </w:tcMar>
          </w:tcPr>
          <w:p w14:paraId="0F6657D5" w14:textId="77777777" w:rsidR="005737B9" w:rsidRDefault="00000000">
            <w:r>
              <w:rPr>
                <w:sz w:val="19"/>
                <w:szCs w:val="19"/>
              </w:rPr>
              <w:t>10/10</w:t>
            </w:r>
          </w:p>
        </w:tc>
        <w:tc>
          <w:tcPr>
            <w:tcW w:w="4620" w:type="dxa"/>
            <w:shd w:val="clear" w:color="auto" w:fill="F4F6F7"/>
            <w:tcMar>
              <w:top w:w="100" w:type="dxa"/>
              <w:left w:w="100" w:type="dxa"/>
              <w:bottom w:w="100" w:type="dxa"/>
              <w:right w:w="100" w:type="dxa"/>
            </w:tcMar>
          </w:tcPr>
          <w:p w14:paraId="644431C3" w14:textId="77777777" w:rsidR="005737B9" w:rsidRDefault="00000000">
            <w:r>
              <w:rPr>
                <w:sz w:val="19"/>
                <w:szCs w:val="19"/>
              </w:rPr>
              <w:t>None — matched v3's accuracy with added reasoning step (extra tokens/latency, no accuracy gain over v3).</w:t>
            </w:r>
          </w:p>
        </w:tc>
      </w:tr>
    </w:tbl>
    <w:p w14:paraId="5B8638BE" w14:textId="77777777" w:rsidR="005737B9" w:rsidRDefault="00000000">
      <w:pPr>
        <w:pStyle w:val="Heading1"/>
        <w:spacing w:before="350" w:after="150"/>
      </w:pPr>
      <w:r>
        <w:t>B. Reflection</w:t>
      </w:r>
    </w:p>
    <w:p w14:paraId="473BAD43" w14:textId="77777777" w:rsidR="005737B9" w:rsidRDefault="00000000">
      <w:pPr>
        <w:spacing w:after="150"/>
      </w:pPr>
      <w:r>
        <w:rPr>
          <w:sz w:val="22"/>
          <w:szCs w:val="22"/>
        </w:rPr>
        <w:t>The single biggest jump came from v1 to v2 — adding a role, explicit label definitions, a tie-break rule, and a strict JSON output contract took accuracy from 0% to 80%, because the model was no longer guessing at what “classify” meant or how to format its answer. The hardest case throughout v1 and v2 was the message where money had already left the account but the plan was still inactive, since it plausibly matched both “billing” and “technical/account_access” depending on which detail the model latched onto. Adding few-shot examples in v3 fixed this by demonstrating the exact reasoning pattern (favor the outcome the customer wants fixed) rather than just describing it in a rule. v4's reason-then-label approach matched v3's 100% accuracy but added extra tokens and latency per request without any accuracy gain, making it hard to justify in production over the simpler v3 prompt.</w:t>
      </w:r>
    </w:p>
    <w:sectPr w:rsidR="005737B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12A69"/>
    <w:multiLevelType w:val="hybridMultilevel"/>
    <w:tmpl w:val="849A78F2"/>
    <w:lvl w:ilvl="0" w:tplc="7C94D482">
      <w:start w:val="1"/>
      <w:numFmt w:val="bullet"/>
      <w:lvlText w:val="●"/>
      <w:lvlJc w:val="left"/>
      <w:pPr>
        <w:ind w:left="720" w:hanging="360"/>
      </w:pPr>
    </w:lvl>
    <w:lvl w:ilvl="1" w:tplc="16F872E2">
      <w:start w:val="1"/>
      <w:numFmt w:val="bullet"/>
      <w:lvlText w:val="○"/>
      <w:lvlJc w:val="left"/>
      <w:pPr>
        <w:ind w:left="1440" w:hanging="360"/>
      </w:pPr>
    </w:lvl>
    <w:lvl w:ilvl="2" w:tplc="C3DA2A40">
      <w:start w:val="1"/>
      <w:numFmt w:val="bullet"/>
      <w:lvlText w:val="■"/>
      <w:lvlJc w:val="left"/>
      <w:pPr>
        <w:ind w:left="2160" w:hanging="360"/>
      </w:pPr>
    </w:lvl>
    <w:lvl w:ilvl="3" w:tplc="4CD02310">
      <w:start w:val="1"/>
      <w:numFmt w:val="bullet"/>
      <w:lvlText w:val="●"/>
      <w:lvlJc w:val="left"/>
      <w:pPr>
        <w:ind w:left="2880" w:hanging="360"/>
      </w:pPr>
    </w:lvl>
    <w:lvl w:ilvl="4" w:tplc="A88EBD0C">
      <w:start w:val="1"/>
      <w:numFmt w:val="bullet"/>
      <w:lvlText w:val="○"/>
      <w:lvlJc w:val="left"/>
      <w:pPr>
        <w:ind w:left="3600" w:hanging="360"/>
      </w:pPr>
    </w:lvl>
    <w:lvl w:ilvl="5" w:tplc="1F0ECA8A">
      <w:start w:val="1"/>
      <w:numFmt w:val="bullet"/>
      <w:lvlText w:val="■"/>
      <w:lvlJc w:val="left"/>
      <w:pPr>
        <w:ind w:left="4320" w:hanging="360"/>
      </w:pPr>
    </w:lvl>
    <w:lvl w:ilvl="6" w:tplc="CDE66676">
      <w:start w:val="1"/>
      <w:numFmt w:val="bullet"/>
      <w:lvlText w:val="●"/>
      <w:lvlJc w:val="left"/>
      <w:pPr>
        <w:ind w:left="5040" w:hanging="360"/>
      </w:pPr>
    </w:lvl>
    <w:lvl w:ilvl="7" w:tplc="544EAB38">
      <w:start w:val="1"/>
      <w:numFmt w:val="bullet"/>
      <w:lvlText w:val="●"/>
      <w:lvlJc w:val="left"/>
      <w:pPr>
        <w:ind w:left="5760" w:hanging="360"/>
      </w:pPr>
    </w:lvl>
    <w:lvl w:ilvl="8" w:tplc="F16EC73E">
      <w:start w:val="1"/>
      <w:numFmt w:val="bullet"/>
      <w:lvlText w:val="●"/>
      <w:lvlJc w:val="left"/>
      <w:pPr>
        <w:ind w:left="6480" w:hanging="360"/>
      </w:pPr>
    </w:lvl>
  </w:abstractNum>
  <w:num w:numId="1" w16cid:durableId="1708603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7B9"/>
    <w:rsid w:val="000A5B77"/>
    <w:rsid w:val="00400B59"/>
    <w:rsid w:val="005737B9"/>
    <w:rsid w:val="009F4DF3"/>
    <w:rsid w:val="00D05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2CA4"/>
  <w15:docId w15:val="{106BE4E2-AC0E-4FB4-807D-84E404992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revision>3</cp:revision>
  <dcterms:created xsi:type="dcterms:W3CDTF">2026-09-22T21:10:00Z</dcterms:created>
  <dcterms:modified xsi:type="dcterms:W3CDTF">2026-10-19T11:30:00Z</dcterms:modified>
</cp:coreProperties>
</file>