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6" w:name="content"/>
    <w:bookmarkStart w:id="65" w:name="X564e7c665b746e114d697f2e40640a02269817f"/>
    <w:p>
      <w:pPr>
        <w:pStyle w:val="Heading1"/>
      </w:pPr>
      <w:r>
        <w:t xml:space="preserve">Review of “The Generative Identity Framework: Structure, Projection, and Meta-Information in Real Numbers”</w:t>
      </w:r>
    </w:p>
    <w:bookmarkStart w:id="26" w:name="impact-assessment-citation-prediction"/>
    <w:p>
      <w:pPr>
        <w:pStyle w:val="Heading2"/>
      </w:pPr>
      <w:r>
        <w:t xml:space="preserve">Impact Assessment + Citation Prediction</w:t>
      </w:r>
    </w:p>
    <w:p>
      <w:pPr>
        <w:pStyle w:val="FirstParagraph"/>
      </w:pPr>
      <w:r>
        <w:t xml:space="preserve">The manuscript introduces a novel representation of real numbers as</w:t>
      </w:r>
      <w:r>
        <w:t xml:space="preserve"> </w:t>
      </w:r>
      <w:r>
        <w:rPr>
          <w:i/>
          <w:iCs/>
        </w:rPr>
        <w:t xml:space="preserve">generative identities</w:t>
      </w:r>
      <w:r>
        <w:t xml:space="preserve"> </w:t>
      </w:r>
      <w:r>
        <w:t xml:space="preserve">$G=(M,D,K)$, where a selector $M$ chooses whether to expose a digit $D(n)$ or a meta-symbol $K(n)$ at each position. The observable</w:t>
      </w:r>
      <w:r>
        <w:t xml:space="preserve"> </w:t>
      </w:r>
      <w:r>
        <w:rPr>
          <w:i/>
          <w:iCs/>
        </w:rPr>
        <w:t xml:space="preserve">collapse map</w:t>
      </w:r>
      <w:r>
        <w:t xml:space="preserve"> </w:t>
      </w:r>
      <w:r>
        <w:t xml:space="preserve">$\pi(G)$ extracts the subsequence of digits selected by $M$ and interprets it as a base-$b$ expansion</w:t>
      </w:r>
      <w:hyperlink r:id="rId21">
        <w:r>
          <w:rPr>
            <w:rStyle w:val="Hyperlink"/>
          </w:rPr>
          <w:t xml:space="preserve">[1]</w:t>
        </w:r>
      </w:hyperlink>
      <w:r>
        <w:t xml:space="preserve">. This viewpoint endows each real number with a rich internal “generative” structure, and studies how classical analysis sees only the collapsed value, while a spectrum of internal</w:t>
      </w:r>
      <w:r>
        <w:t xml:space="preserve"> </w:t>
      </w:r>
      <w:r>
        <w:rPr>
          <w:i/>
          <w:iCs/>
        </w:rPr>
        <w:t xml:space="preserve">invariants</w:t>
      </w:r>
      <w:r>
        <w:t xml:space="preserve"> </w:t>
      </w:r>
      <w:r>
        <w:t xml:space="preserve">(e.g. digit frequency, meta-patterns) remain hidden. Conceptually, this framework bridges ideas from</w:t>
      </w:r>
      <w:r>
        <w:t xml:space="preserve"> </w:t>
      </w:r>
      <w:r>
        <w:rPr>
          <w:b/>
          <w:bCs/>
        </w:rPr>
        <w:t xml:space="preserve">computable analysis</w:t>
      </w:r>
      <w:r>
        <w:t xml:space="preserve"> </w:t>
      </w:r>
      <w:r>
        <w:t xml:space="preserve">(the effective core $\mathcal{G}_{\rm eff}$ of computable generators) with</w:t>
      </w:r>
      <w:r>
        <w:t xml:space="preserve"> </w:t>
      </w:r>
      <w:r>
        <w:rPr>
          <w:b/>
          <w:bCs/>
        </w:rPr>
        <w:t xml:space="preserve">symbolic dynamics</w:t>
      </w:r>
      <w:r>
        <w:t xml:space="preserve"> </w:t>
      </w:r>
      <w:r>
        <w:t xml:space="preserve">(product-space topology of sequences) and</w:t>
      </w:r>
      <w:r>
        <w:t xml:space="preserve"> </w:t>
      </w:r>
      <w:r>
        <w:rPr>
          <w:b/>
          <w:bCs/>
        </w:rPr>
        <w:t xml:space="preserve">information theory</w:t>
      </w:r>
      <w:r>
        <w:t xml:space="preserve"> </w:t>
      </w:r>
      <w:r>
        <w:t xml:space="preserve">(entropy of digit/meta usage)</w:t>
      </w:r>
      <w:hyperlink r:id="rId22">
        <w:r>
          <w:rPr>
            <w:rStyle w:val="Hyperlink"/>
          </w:rPr>
          <w:t xml:space="preserve">[2]</w:t>
        </w:r>
      </w:hyperlink>
      <w:hyperlink r:id="rId21">
        <w:r>
          <w:rPr>
            <w:rStyle w:val="Hyperlink"/>
          </w:rPr>
          <w:t xml:space="preserve">[1]</w:t>
        </w:r>
      </w:hyperlink>
      <w:r>
        <w:t xml:space="preserve">. The main technical contributions (collapse surjectivity, fiber structure, hybrid/null-density regimes, projection lattice, meta-diagonalizer, etc.) are largely original and quite ambitious. If correct and well-received, this new paradigm could attract attention in several fields:</w:t>
      </w:r>
    </w:p>
    <w:p>
      <w:pPr>
        <w:pStyle w:val="Compact"/>
        <w:numPr>
          <w:ilvl w:val="0"/>
          <w:numId w:val="1001"/>
        </w:numPr>
      </w:pPr>
      <w:r>
        <w:rPr>
          <w:b/>
          <w:bCs/>
        </w:rPr>
        <w:t xml:space="preserve">Computability and Logic:</w:t>
      </w:r>
      <w:r>
        <w:t xml:space="preserve"> </w:t>
      </w:r>
      <w:r>
        <w:t xml:space="preserve">The representation parallels the standard Type-2 view of reals as Baire/Cantor names, offering a fresh take on computable real analysis</w:t>
      </w:r>
      <w:hyperlink r:id="rId23">
        <w:r>
          <w:rPr>
            <w:rStyle w:val="Hyperlink"/>
          </w:rPr>
          <w:t xml:space="preserve">[3]</w:t>
        </w:r>
      </w:hyperlink>
      <w:r>
        <w:t xml:space="preserve">. Researchers in</w:t>
      </w:r>
      <w:r>
        <w:t xml:space="preserve"> </w:t>
      </w:r>
      <w:r>
        <w:rPr>
          <w:i/>
          <w:iCs/>
        </w:rPr>
        <w:t xml:space="preserve">effective descriptive set theory</w:t>
      </w:r>
      <w:r>
        <w:t xml:space="preserve"> </w:t>
      </w:r>
      <w:r>
        <w:t xml:space="preserve">and</w:t>
      </w:r>
      <w:r>
        <w:t xml:space="preserve"> </w:t>
      </w:r>
      <w:r>
        <w:rPr>
          <w:i/>
          <w:iCs/>
        </w:rPr>
        <w:t xml:space="preserve">computable structure theory</w:t>
      </w:r>
      <w:r>
        <w:t xml:space="preserve"> </w:t>
      </w:r>
      <w:r>
        <w:t xml:space="preserve">may find the fiber complexity ($\Pi^0_1$ classes of generators) and incompleteness results intriguing.</w:t>
      </w:r>
    </w:p>
    <w:p>
      <w:pPr>
        <w:pStyle w:val="Compact"/>
        <w:numPr>
          <w:ilvl w:val="0"/>
          <w:numId w:val="1001"/>
        </w:numPr>
      </w:pPr>
      <w:r>
        <w:rPr>
          <w:b/>
          <w:bCs/>
        </w:rPr>
        <w:t xml:space="preserve">Symbolic Dynamics and Ergodic Theory:</w:t>
      </w:r>
      <w:r>
        <w:t xml:space="preserve"> </w:t>
      </w:r>
      <w:r>
        <w:t xml:space="preserve">The selector $M$ defines a shift-invariant pattern on the</w:t>
      </w:r>
      <w:r>
        <w:t xml:space="preserve"> </w:t>
      </w:r>
      <w:r>
        <w:rPr>
          <w:i/>
          <w:iCs/>
        </w:rPr>
        <w:t xml:space="preserve">full shift</w:t>
      </w:r>
      <w:r>
        <w:t xml:space="preserve"> </w:t>
      </w:r>
      <w:r>
        <w:t xml:space="preserve">of two symbols (D/K). Results about hybrid vs null-density sequences and their entropies relate to known topics in subshift complexity. Experts in</w:t>
      </w:r>
      <w:r>
        <w:t xml:space="preserve"> </w:t>
      </w:r>
      <w:r>
        <w:rPr>
          <w:i/>
          <w:iCs/>
        </w:rPr>
        <w:t xml:space="preserve">dynamical systems</w:t>
      </w:r>
      <w:r>
        <w:t xml:space="preserve"> </w:t>
      </w:r>
      <w:r>
        <w:t xml:space="preserve">or</w:t>
      </w:r>
      <w:r>
        <w:t xml:space="preserve"> </w:t>
      </w:r>
      <w:r>
        <w:rPr>
          <w:i/>
          <w:iCs/>
        </w:rPr>
        <w:t xml:space="preserve">Shannon entropy</w:t>
      </w:r>
      <w:r>
        <w:t xml:space="preserve"> </w:t>
      </w:r>
      <w:r>
        <w:t xml:space="preserve">might apply these ideas to model multi-layered symbolic processes.</w:t>
      </w:r>
    </w:p>
    <w:p>
      <w:pPr>
        <w:pStyle w:val="Compact"/>
        <w:numPr>
          <w:ilvl w:val="0"/>
          <w:numId w:val="1001"/>
        </w:numPr>
      </w:pPr>
      <w:r>
        <w:rPr>
          <w:b/>
          <w:bCs/>
        </w:rPr>
        <w:t xml:space="preserve">Algorithmic Information Theory:</w:t>
      </w:r>
      <w:r>
        <w:t xml:space="preserve"> </w:t>
      </w:r>
      <w:r>
        <w:t xml:space="preserve">The framework’s focus on hidden information (the meta-layer $K$) and its relation to observable output is reminiscent of work on</w:t>
      </w:r>
      <w:r>
        <w:t xml:space="preserve"> </w:t>
      </w:r>
      <w:r>
        <w:rPr>
          <w:b/>
          <w:bCs/>
        </w:rPr>
        <w:t xml:space="preserve">Kolmogorov complexity</w:t>
      </w:r>
      <w:r>
        <w:t xml:space="preserve"> </w:t>
      </w:r>
      <w:r>
        <w:t xml:space="preserve">of real numbers or</w:t>
      </w:r>
      <w:r>
        <w:t xml:space="preserve"> </w:t>
      </w:r>
      <w:r>
        <w:rPr>
          <w:b/>
          <w:bCs/>
        </w:rPr>
        <w:t xml:space="preserve">algorithmic randomness</w:t>
      </w:r>
      <w:r>
        <w:t xml:space="preserve">. One can view each real as having “algorithmic degrees of freedom” beyond its magnitude. This could spark interest among theoretical CS and complexity theorists.</w:t>
      </w:r>
    </w:p>
    <w:p>
      <w:pPr>
        <w:pStyle w:val="Compact"/>
        <w:numPr>
          <w:ilvl w:val="0"/>
          <w:numId w:val="1001"/>
        </w:numPr>
      </w:pPr>
      <w:r>
        <w:rPr>
          <w:b/>
          <w:bCs/>
        </w:rPr>
        <w:t xml:space="preserve">Foundations and Set Theory:</w:t>
      </w:r>
      <w:r>
        <w:t xml:space="preserve"> </w:t>
      </w:r>
      <w:r>
        <w:t xml:space="preserve">The idea that “the continuum is a quotient of a richer generative space” (Theorem: $[0,1] \cong \mathcal{X}^*/!\sim_\pi$</w:t>
      </w:r>
      <w:hyperlink r:id="rId24">
        <w:r>
          <w:rPr>
            <w:rStyle w:val="Hyperlink"/>
          </w:rPr>
          <w:t xml:space="preserve">[4]</w:t>
        </w:r>
      </w:hyperlink>
      <w:r>
        <w:t xml:space="preserve">) offers a different philosophical picture of real analysis. Philosophers of mathematics or logicians might draw parallels to forcing or other models where additional structure collapses.</w:t>
      </w:r>
    </w:p>
    <w:p>
      <w:pPr>
        <w:pStyle w:val="FirstParagraph"/>
      </w:pPr>
      <w:r>
        <w:t xml:space="preserve">Overall, the work is</w:t>
      </w:r>
      <w:r>
        <w:t xml:space="preserve"> </w:t>
      </w:r>
      <w:r>
        <w:rPr>
          <w:b/>
          <w:bCs/>
        </w:rPr>
        <w:t xml:space="preserve">conceptually bold</w:t>
      </w:r>
      <w:r>
        <w:t xml:space="preserve">. It has a flavor of a “new foundation” for the real line, so its impact depends on whether the community finds this perspective useful. It certainly provides many theorems (e.g. collapse surjectivity</w:t>
      </w:r>
      <w:hyperlink r:id="rId25">
        <w:r>
          <w:rPr>
            <w:rStyle w:val="Hyperlink"/>
          </w:rPr>
          <w:t xml:space="preserve">[5]</w:t>
        </w:r>
      </w:hyperlink>
      <w:r>
        <w:t xml:space="preserve">, fiber closure, projection lattice, diagonalization) that could stimulate follow-up. If the ideas are developed further and connected to existing literature, the paper may be cited in areas like computable analysis, symbolic dynamics, and fractal geometry.</w:t>
      </w:r>
    </w:p>
    <w:p>
      <w:pPr>
        <w:pStyle w:val="BodyText"/>
      </w:pPr>
      <w:r>
        <w:rPr>
          <w:b/>
          <w:bCs/>
        </w:rPr>
        <w:t xml:space="preserve">Citation Trajectory (qualitative estimate):</w:t>
      </w:r>
      <w:r>
        <w:t xml:space="preserve"> </w:t>
      </w:r>
      <w:r>
        <w:t xml:space="preserve">If published, in the</w:t>
      </w:r>
      <w:r>
        <w:t xml:space="preserve"> </w:t>
      </w:r>
      <w:r>
        <w:rPr>
          <w:b/>
          <w:bCs/>
        </w:rPr>
        <w:t xml:space="preserve">next 5 years</w:t>
      </w:r>
      <w:r>
        <w:t xml:space="preserve"> </w:t>
      </w:r>
      <w:r>
        <w:t xml:space="preserve">this is likely to remain niche: perhaps</w:t>
      </w:r>
      <w:r>
        <w:t xml:space="preserve"> </w:t>
      </w:r>
      <w:r>
        <w:rPr>
          <w:i/>
          <w:iCs/>
        </w:rPr>
        <w:t xml:space="preserve">a few to a few dozen</w:t>
      </w:r>
      <w:r>
        <w:t xml:space="preserve"> </w:t>
      </w:r>
      <w:r>
        <w:t xml:space="preserve">citations, mainly from theoreticians exploring related concepts. In</w:t>
      </w:r>
      <w:r>
        <w:t xml:space="preserve"> </w:t>
      </w:r>
      <w:r>
        <w:rPr>
          <w:b/>
          <w:bCs/>
        </w:rPr>
        <w:t xml:space="preserve">10 years</w:t>
      </w:r>
      <w:r>
        <w:t xml:space="preserve">, if the framework proves robust and applications emerge (e.g. new invariants of real numbers, connections to chaos/encoding), citations could grow into the</w:t>
      </w:r>
      <w:r>
        <w:t xml:space="preserve"> </w:t>
      </w:r>
      <w:r>
        <w:rPr>
          <w:i/>
          <w:iCs/>
        </w:rPr>
        <w:t xml:space="preserve">tens or low hundreds</w:t>
      </w:r>
      <w:r>
        <w:t xml:space="preserve">, especially if textbooks adopt the perspective. Over a</w:t>
      </w:r>
      <w:r>
        <w:t xml:space="preserve"> </w:t>
      </w:r>
      <w:r>
        <w:rPr>
          <w:b/>
          <w:bCs/>
        </w:rPr>
        <w:t xml:space="preserve">50-year</w:t>
      </w:r>
      <w:r>
        <w:t xml:space="preserve"> </w:t>
      </w:r>
      <w:r>
        <w:t xml:space="preserve">horizon, history is unpredictable; if the generative viewpoint turns out to unify important threads in analysis or computation, it might become a classic conceptual reference and gather citations on the order of</w:t>
      </w:r>
      <w:r>
        <w:t xml:space="preserve"> </w:t>
      </w:r>
      <w:r>
        <w:rPr>
          <w:i/>
          <w:iCs/>
        </w:rPr>
        <w:t xml:space="preserve">hundreds</w:t>
      </w:r>
      <w:r>
        <w:t xml:space="preserve">. However, if it remains isolated without broader uptake, its citation count may plateau. In summary, I foresee</w:t>
      </w:r>
      <w:r>
        <w:t xml:space="preserve"> </w:t>
      </w:r>
      <w:r>
        <w:rPr>
          <w:b/>
          <w:bCs/>
        </w:rPr>
        <w:t xml:space="preserve">moderate</w:t>
      </w:r>
      <w:r>
        <w:t xml:space="preserve"> </w:t>
      </w:r>
      <w:r>
        <w:t xml:space="preserve">influence: it could be seen as a novel but specialized contribution.</w:t>
      </w:r>
    </w:p>
    <w:bookmarkEnd w:id="26"/>
    <w:bookmarkStart w:id="41" w:name="high-level-referee-commentary"/>
    <w:p>
      <w:pPr>
        <w:pStyle w:val="Heading2"/>
      </w:pPr>
      <w:r>
        <w:t xml:space="preserve">High-Level Referee Commentary</w:t>
      </w:r>
    </w:p>
    <w:p>
      <w:pPr>
        <w:pStyle w:val="FirstParagraph"/>
      </w:pPr>
      <w:r>
        <w:t xml:space="preserve">The manuscript is generally</w:t>
      </w:r>
      <w:r>
        <w:t xml:space="preserve"> </w:t>
      </w:r>
      <w:r>
        <w:rPr>
          <w:b/>
          <w:bCs/>
        </w:rPr>
        <w:t xml:space="preserve">well-organized and self-contained</w:t>
      </w:r>
      <w:r>
        <w:t xml:space="preserve">. It begins by defining the</w:t>
      </w:r>
      <w:r>
        <w:t xml:space="preserve"> </w:t>
      </w:r>
      <w:r>
        <w:rPr>
          <w:b/>
          <w:bCs/>
        </w:rPr>
        <w:t xml:space="preserve">generative space</w:t>
      </w:r>
      <w:r>
        <w:t xml:space="preserve"> </w:t>
      </w:r>
      <w:r>
        <w:t xml:space="preserve">$\mathcal{X} = {D,K}^\mathbb{N}\times{0,\dots,b-1}^\mathbb{N}\times\Sigma^\mathbb{N}$ and its</w:t>
      </w:r>
      <w:r>
        <w:t xml:space="preserve"> </w:t>
      </w:r>
      <w:r>
        <w:rPr>
          <w:i/>
          <w:iCs/>
        </w:rPr>
        <w:t xml:space="preserve">effective core</w:t>
      </w:r>
      <w:r>
        <w:t xml:space="preserve"> </w:t>
      </w:r>
      <w:r>
        <w:t xml:space="preserve">$\mathcal{G}_{\rm eff}$ of computable triples</w:t>
      </w:r>
      <w:hyperlink r:id="rId22">
        <w:r>
          <w:rPr>
            <w:rStyle w:val="Hyperlink"/>
          </w:rPr>
          <w:t xml:space="preserve">[2]</w:t>
        </w:r>
      </w:hyperlink>
      <w:r>
        <w:t xml:space="preserve">, introducing the</w:t>
      </w:r>
      <w:r>
        <w:t xml:space="preserve"> </w:t>
      </w:r>
      <w:r>
        <w:rPr>
          <w:b/>
          <w:bCs/>
        </w:rPr>
        <w:t xml:space="preserve">canonical output</w:t>
      </w:r>
      <w:r>
        <w:t xml:space="preserve"> </w:t>
      </w:r>
      <w:r>
        <w:t xml:space="preserve">$X(G)$ (Definition 1, [22†L365-L374]) and then the</w:t>
      </w:r>
      <w:r>
        <w:t xml:space="preserve"> </w:t>
      </w:r>
      <w:r>
        <w:rPr>
          <w:b/>
          <w:bCs/>
        </w:rPr>
        <w:t xml:space="preserve">collapse map</w:t>
      </w:r>
      <w:r>
        <w:t xml:space="preserve"> </w:t>
      </w:r>
      <w:r>
        <w:t xml:space="preserve">$\pi:\mathcal{X}^</w:t>
      </w:r>
      <w:r>
        <w:rPr>
          <w:i/>
          <w:iCs/>
        </w:rPr>
        <w:t xml:space="preserve">\to[0,1]$ (Definition, [24†L576-L584]). The basic properties are proved cleanly: e.g. surjectivity onto $[0,1]$</w:t>
      </w:r>
      <w:hyperlink r:id="rId25">
        <w:r>
          <w:rPr>
            <w:rStyle w:val="Hyperlink"/>
            <w:i/>
            <w:iCs/>
          </w:rPr>
          <w:t xml:space="preserve">[5]</w:t>
        </w:r>
      </w:hyperlink>
      <w:r>
        <w:rPr>
          <w:i/>
          <w:iCs/>
        </w:rPr>
        <w:t xml:space="preserve"> </w:t>
      </w:r>
      <w:r>
        <w:rPr>
          <w:i/>
          <w:iCs/>
        </w:rPr>
        <w:t xml:space="preserve">and onto the computable reals</w:t>
      </w:r>
      <w:hyperlink r:id="rId27">
        <w:r>
          <w:rPr>
            <w:rStyle w:val="Hyperlink"/>
            <w:i/>
            <w:iCs/>
          </w:rPr>
          <w:t xml:space="preserve">[6]</w:t>
        </w:r>
      </w:hyperlink>
      <w:r>
        <w:rPr>
          <w:i/>
          <w:iCs/>
        </w:rPr>
        <w:t xml:space="preserve"> </w:t>
      </w:r>
      <w:r>
        <w:rPr>
          <w:i/>
          <w:iCs/>
        </w:rPr>
        <w:t xml:space="preserve">are immediate from construction, and $\pi$ is continuous with closed fibers</w:t>
      </w:r>
      <w:hyperlink r:id="rId28">
        <w:r>
          <w:rPr>
            <w:rStyle w:val="Hyperlink"/>
            <w:i/>
            <w:iCs/>
          </w:rPr>
          <w:t xml:space="preserve">[7]</w:t>
        </w:r>
      </w:hyperlink>
      <w:hyperlink r:id="rId29">
        <w:r>
          <w:rPr>
            <w:rStyle w:val="Hyperlink"/>
            <w:i/>
            <w:iCs/>
          </w:rPr>
          <w:t xml:space="preserve">[8]</w:t>
        </w:r>
      </w:hyperlink>
      <w:r>
        <w:rPr>
          <w:i/>
          <w:iCs/>
        </w:rPr>
        <w:t xml:space="preserve">. These core results appear</w:t>
      </w:r>
      <w:r>
        <w:t xml:space="preserve"> </w:t>
      </w:r>
      <w:r>
        <w:rPr>
          <w:i/>
          <w:iCs/>
        </w:rPr>
        <w:t xml:space="preserve">correct</w:t>
      </w:r>
      <w:r>
        <w:t xml:space="preserve">* and use standard arguments. The notation is consistent throughout (selector $M$, digit sequence $D$, meta sequence $K$) and the topological/computability assumptions are clearly stated.</w:t>
      </w:r>
    </w:p>
    <w:p>
      <w:pPr>
        <w:pStyle w:val="BodyText"/>
      </w:pPr>
      <w:r>
        <w:t xml:space="preserve">I did not find any circular reasoning or obvious logical gaps in the main development. Each claim is usually supported by a direct proof or construction. For example, the abundance of</w:t>
      </w:r>
      <w:r>
        <w:t xml:space="preserve"> </w:t>
      </w:r>
      <w:r>
        <w:rPr>
          <w:i/>
          <w:iCs/>
        </w:rPr>
        <w:t xml:space="preserve">hybrid</w:t>
      </w:r>
      <w:r>
        <w:t xml:space="preserve"> </w:t>
      </w:r>
      <w:r>
        <w:t xml:space="preserve">generators (positive density of digit picks) is shown by a simple cylinder-extension argument, and the existence of</w:t>
      </w:r>
      <w:r>
        <w:t xml:space="preserve"> </w:t>
      </w:r>
      <w:r>
        <w:rPr>
          <w:i/>
          <w:iCs/>
        </w:rPr>
        <w:t xml:space="preserve">null-density</w:t>
      </w:r>
      <w:r>
        <w:t xml:space="preserve"> </w:t>
      </w:r>
      <w:r>
        <w:t xml:space="preserve">generators uses a well-chosen sparse pattern</w:t>
      </w:r>
      <w:hyperlink r:id="rId30">
        <w:r>
          <w:rPr>
            <w:rStyle w:val="Hyperlink"/>
          </w:rPr>
          <w:t xml:space="preserve">[9]</w:t>
        </w:r>
      </w:hyperlink>
      <w:hyperlink r:id="rId31">
        <w:r>
          <w:rPr>
            <w:rStyle w:val="Hyperlink"/>
          </w:rPr>
          <w:t xml:space="preserve">[10]</w:t>
        </w:r>
      </w:hyperlink>
      <w:r>
        <w:t xml:space="preserve">. The definition of</w:t>
      </w:r>
      <w:r>
        <w:t xml:space="preserve"> </w:t>
      </w:r>
      <w:r>
        <w:rPr>
          <w:b/>
          <w:bCs/>
        </w:rPr>
        <w:t xml:space="preserve">structural projections</w:t>
      </w:r>
      <w:r>
        <w:t xml:space="preserve"> </w:t>
      </w:r>
      <w:r>
        <w:t xml:space="preserve">(continuous maps from $\mathcal{X}$) and the refinement lattice</w:t>
      </w:r>
      <w:hyperlink r:id="rId32">
        <w:r>
          <w:rPr>
            <w:rStyle w:val="Hyperlink"/>
          </w:rPr>
          <w:t xml:space="preserve">[11]</w:t>
        </w:r>
      </w:hyperlink>
      <w:hyperlink r:id="rId33">
        <w:r>
          <w:rPr>
            <w:rStyle w:val="Hyperlink"/>
          </w:rPr>
          <w:t xml:space="preserve">[12]</w:t>
        </w:r>
      </w:hyperlink>
      <w:r>
        <w:t xml:space="preserve"> </w:t>
      </w:r>
      <w:r>
        <w:t xml:space="preserve">is sound. The key</w:t>
      </w:r>
      <w:r>
        <w:t xml:space="preserve"> </w:t>
      </w:r>
      <w:r>
        <w:rPr>
          <w:i/>
          <w:iCs/>
        </w:rPr>
        <w:t xml:space="preserve">meta-diagonalizer</w:t>
      </w:r>
      <w:r>
        <w:t xml:space="preserve"> </w:t>
      </w:r>
      <w:r>
        <w:t xml:space="preserve">construction (Chapter 9) is intricate but logically coherent: at each stage it splices in a “tail” from an auxiliary generator $A_k$ that diverges under one projection in the finite family, ensuring later convergence</w:t>
      </w:r>
      <w:hyperlink r:id="rId34">
        <w:r>
          <w:rPr>
            <w:rStyle w:val="Hyperlink"/>
          </w:rPr>
          <w:t xml:space="preserve">[13]</w:t>
        </w:r>
      </w:hyperlink>
      <w:r>
        <w:t xml:space="preserve">. The scheme of alignment and sewing (Lemma</w:t>
      </w:r>
      <w:r>
        <w:t xml:space="preserve"> </w:t>
      </w:r>
      <w:r>
        <w:rPr>
          <w:i/>
          <w:iCs/>
        </w:rPr>
        <w:t xml:space="preserve">Index-Alignment</w:t>
      </w:r>
      <w:r>
        <w:t xml:space="preserve"> </w:t>
      </w:r>
      <w:r>
        <w:t xml:space="preserve">and</w:t>
      </w:r>
      <w:r>
        <w:t xml:space="preserve"> </w:t>
      </w:r>
      <w:r>
        <w:rPr>
          <w:i/>
          <w:iCs/>
        </w:rPr>
        <w:t xml:space="preserve">Stability</w:t>
      </w:r>
      <w:r>
        <w:t xml:space="preserve">, [41†L2091-L2100][41†L2128-L2136]) ensures the limit $G^#$ stays in the fiber and is prefix-indistinguishable at each finite precision. This convincingly proves that any</w:t>
      </w:r>
      <w:r>
        <w:t xml:space="preserve"> </w:t>
      </w:r>
      <w:r>
        <w:rPr>
          <w:i/>
          <w:iCs/>
        </w:rPr>
        <w:t xml:space="preserve">finite</w:t>
      </w:r>
      <w:r>
        <w:t xml:space="preserve"> </w:t>
      </w:r>
      <w:r>
        <w:t xml:space="preserve">collection of observers cannot uniquely classify generative identities in a fiber (the Structural Incompleteness Theorem of Part IV).</w:t>
      </w:r>
    </w:p>
    <w:p>
      <w:pPr>
        <w:pStyle w:val="BodyText"/>
      </w:pPr>
      <w:r>
        <w:t xml:space="preserve">That said, I have some</w:t>
      </w:r>
      <w:r>
        <w:t xml:space="preserve"> </w:t>
      </w:r>
      <w:r>
        <w:rPr>
          <w:b/>
          <w:bCs/>
        </w:rPr>
        <w:t xml:space="preserve">concerns about exposition and claims</w:t>
      </w:r>
      <w:r>
        <w:t xml:space="preserve">:</w:t>
      </w:r>
      <w:r>
        <w:t xml:space="preserve"> </w:t>
      </w:r>
      <w:r>
        <w:t xml:space="preserve">-</w:t>
      </w:r>
      <w:r>
        <w:t xml:space="preserve"> </w:t>
      </w:r>
      <w:r>
        <w:rPr>
          <w:b/>
          <w:bCs/>
        </w:rPr>
        <w:t xml:space="preserve">Clarity and Examples:</w:t>
      </w:r>
      <w:r>
        <w:t xml:space="preserve"> </w:t>
      </w:r>
      <w:r>
        <w:t xml:space="preserve">While definitions are precise, the narrative can be dense. Early on, a small concrete example would help (e.g. a simple $M$ that alternates $D$ and $K$, showing the canonical output). The prose often restates formal definitions in words, but readers might benefit from an informal example or diagram illustrating a collapse fiber or selector pattern. For instance, a figure showing how two different $G$ give the same real could ground the abstract discussion.</w:t>
      </w:r>
      <w:r>
        <w:t xml:space="preserve"> </w:t>
      </w:r>
      <w:r>
        <w:t xml:space="preserve">-</w:t>
      </w:r>
      <w:r>
        <w:t xml:space="preserve"> </w:t>
      </w:r>
      <w:r>
        <w:rPr>
          <w:b/>
          <w:bCs/>
        </w:rPr>
        <w:t xml:space="preserve">Use of Examples/Illustrations:</w:t>
      </w:r>
      <w:r>
        <w:t xml:space="preserve"> </w:t>
      </w:r>
      <w:r>
        <w:t xml:space="preserve">The text refers to “symbolic-dynamic perspective” in passing</w:t>
      </w:r>
      <w:hyperlink r:id="rId35">
        <w:r>
          <w:rPr>
            <w:rStyle w:val="Hyperlink"/>
          </w:rPr>
          <w:t xml:space="preserve">[14]</w:t>
        </w:r>
      </w:hyperlink>
      <w:r>
        <w:t xml:space="preserve">, but no visual aids are given. Sketches of the “generative manifold” or fiber geometry might aid understanding. Similarly, a diagram of the projection lattice (showing collapse at bottom, entropy balance above, etc.) could clarify the structure.</w:t>
      </w:r>
      <w:r>
        <w:t xml:space="preserve"> </w:t>
      </w:r>
      <w:r>
        <w:t xml:space="preserve">-</w:t>
      </w:r>
      <w:r>
        <w:t xml:space="preserve"> </w:t>
      </w:r>
      <w:r>
        <w:rPr>
          <w:b/>
          <w:bCs/>
        </w:rPr>
        <w:t xml:space="preserve">Foundational Assumptions:</w:t>
      </w:r>
      <w:r>
        <w:t xml:space="preserve"> </w:t>
      </w:r>
      <w:r>
        <w:t xml:space="preserve">The paper claims to work in ZFC with no extra axioms. All constructions seem explicit (no use of Choice beyond countable enumerations). The one potential gap is the implicit assumption that one can</w:t>
      </w:r>
      <w:r>
        <w:t xml:space="preserve"> </w:t>
      </w:r>
      <w:r>
        <w:rPr>
          <w:i/>
          <w:iCs/>
        </w:rPr>
        <w:t xml:space="preserve">search</w:t>
      </w:r>
      <w:r>
        <w:t xml:space="preserve"> </w:t>
      </w:r>
      <w:r>
        <w:t xml:space="preserve">an infinite $\Pi^0_1$ class for a witness (in Lemma 9.1</w:t>
      </w:r>
      <w:hyperlink r:id="rId36">
        <w:r>
          <w:rPr>
            <w:rStyle w:val="Hyperlink"/>
          </w:rPr>
          <w:t xml:space="preserve">[15]</w:t>
        </w:r>
      </w:hyperlink>
      <w:r>
        <w:t xml:space="preserve">). The author phrases it as “search for $A$ by enumerating generators in the fiber, which is a non-empty $\Pi^0_1$ class”</w:t>
      </w:r>
      <w:hyperlink r:id="rId37">
        <w:r>
          <w:rPr>
            <w:rStyle w:val="Hyperlink"/>
          </w:rPr>
          <w:t xml:space="preserve">[16]</w:t>
        </w:r>
      </w:hyperlink>
      <w:r>
        <w:t xml:space="preserve">. Strictly speaking, one cannot algorithmically search an infinite closed set, but one can argue existentially that some $A$ exists with the needed property, since the projections are not jointly injective. This step is more an existence argument than a constructive one. It would be good to clarify that point (it does not require new set-theoretic assumptions, but it uses non-effective reasoning within the effective core).</w:t>
      </w:r>
      <w:r>
        <w:t xml:space="preserve"> </w:t>
      </w:r>
      <w:r>
        <w:t xml:space="preserve">-</w:t>
      </w:r>
      <w:r>
        <w:t xml:space="preserve"> </w:t>
      </w:r>
      <w:r>
        <w:rPr>
          <w:b/>
          <w:bCs/>
        </w:rPr>
        <w:t xml:space="preserve">Consistency of Claims vs. Proofs:</w:t>
      </w:r>
      <w:r>
        <w:t xml:space="preserve"> </w:t>
      </w:r>
      <w:r>
        <w:t xml:space="preserve">In most places the prose matches the proofs. However (see</w:t>
      </w:r>
      <w:r>
        <w:t xml:space="preserve"> </w:t>
      </w:r>
      <w:r>
        <w:rPr>
          <w:i/>
          <w:iCs/>
        </w:rPr>
        <w:t xml:space="preserve">Full Audit</w:t>
      </w:r>
      <w:r>
        <w:t xml:space="preserve"> </w:t>
      </w:r>
      <w:r>
        <w:t xml:space="preserve">below), two notable claims are</w:t>
      </w:r>
      <w:r>
        <w:t xml:space="preserve"> </w:t>
      </w:r>
      <w:r>
        <w:rPr>
          <w:b/>
          <w:bCs/>
        </w:rPr>
        <w:t xml:space="preserve">unsubstantiated or false</w:t>
      </w:r>
      <w:r>
        <w:t xml:space="preserve"> </w:t>
      </w:r>
      <w:r>
        <w:t xml:space="preserve">as stated: the continuity of the</w:t>
      </w:r>
      <w:r>
        <w:t xml:space="preserve"> </w:t>
      </w:r>
      <w:r>
        <w:rPr>
          <w:i/>
          <w:iCs/>
        </w:rPr>
        <w:t xml:space="preserve">entropy balance</w:t>
      </w:r>
      <w:r>
        <w:t xml:space="preserve"> </w:t>
      </w:r>
      <w:r>
        <w:t xml:space="preserve">$\eta(G)$ (Chapter 13) and the</w:t>
      </w:r>
      <w:r>
        <w:t xml:space="preserve"> </w:t>
      </w:r>
      <w:r>
        <w:rPr>
          <w:i/>
          <w:iCs/>
        </w:rPr>
        <w:t xml:space="preserve">fluctuation index</w:t>
      </w:r>
      <w:r>
        <w:t xml:space="preserve"> </w:t>
      </w:r>
      <w:r>
        <w:t xml:space="preserve">$\phi(G)$ (Chapter 14). These are defined via $\liminf$ or $\limsup$ of frequencies, and the text claims they are continuous and prefix-determined structural projections</w:t>
      </w:r>
      <w:hyperlink r:id="rId38">
        <w:r>
          <w:rPr>
            <w:rStyle w:val="Hyperlink"/>
          </w:rPr>
          <w:t xml:space="preserve">[17]</w:t>
        </w:r>
      </w:hyperlink>
      <w:hyperlink r:id="rId39">
        <w:r>
          <w:rPr>
            <w:rStyle w:val="Hyperlink"/>
          </w:rPr>
          <w:t xml:space="preserve">[18]</w:t>
        </w:r>
      </w:hyperlink>
      <w:r>
        <w:t xml:space="preserve">. In fact, continuity fails: arbitrarily long agreement on a prefix does</w:t>
      </w:r>
      <w:r>
        <w:t xml:space="preserve"> </w:t>
      </w:r>
      <w:r>
        <w:rPr>
          <w:b/>
          <w:bCs/>
        </w:rPr>
        <w:t xml:space="preserve">not</w:t>
      </w:r>
      <w:r>
        <w:t xml:space="preserve"> </w:t>
      </w:r>
      <w:r>
        <w:t xml:space="preserve">force the $\liminf$ or $\limsup$ to be close (one can fix a long prefix and then radically change the tail to drop densities or create a large gap). The given proofs for continuity are incorrect (they assume prefix agreement controls all future averages, which is not true). I will discuss these issues in detail below. Otherwise, most other continuity claims (e.g. collapse, canonical output) are sound.</w:t>
      </w:r>
      <w:r>
        <w:t xml:space="preserve"> </w:t>
      </w:r>
      <w:r>
        <w:t xml:space="preserve">-</w:t>
      </w:r>
      <w:r>
        <w:t xml:space="preserve"> </w:t>
      </w:r>
      <w:r>
        <w:rPr>
          <w:b/>
          <w:bCs/>
        </w:rPr>
        <w:t xml:space="preserve">Matching Claims and Rigor:</w:t>
      </w:r>
      <w:r>
        <w:t xml:space="preserve"> </w:t>
      </w:r>
      <w:r>
        <w:t xml:space="preserve">With the above exception, the main theorems (surjectivity, projection lattice properties, diagonalizer) are matched by clear arguments. The projection-lattice theorems (e.g. greatest lower bound by product</w:t>
      </w:r>
      <w:hyperlink r:id="rId40">
        <w:r>
          <w:rPr>
            <w:rStyle w:val="Hyperlink"/>
          </w:rPr>
          <w:t xml:space="preserve">[19]</w:t>
        </w:r>
      </w:hyperlink>
      <w:r>
        <w:t xml:space="preserve">) and tail-freedom (continuity → finite dependency) are straightforward and correct. The manuscript generally avoids unsupported leaps.</w:t>
      </w:r>
    </w:p>
    <w:p>
      <w:pPr>
        <w:pStyle w:val="BodyText"/>
      </w:pPr>
      <w:r>
        <w:t xml:space="preserve">In summary, the paper presents</w:t>
      </w:r>
      <w:r>
        <w:t xml:space="preserve"> </w:t>
      </w:r>
      <w:r>
        <w:rPr>
          <w:b/>
          <w:bCs/>
        </w:rPr>
        <w:t xml:space="preserve">innovative and logically structured arguments</w:t>
      </w:r>
      <w:r>
        <w:t xml:space="preserve">, but the exposition could be clarified with more examples. The biggest technical issue is the mis-characterization of $\eta$ and $\phi$ as continuous invariants, which I address in the audit below. Other than that, I found no fatal logical errors in the main development.</w:t>
      </w:r>
    </w:p>
    <w:bookmarkEnd w:id="41"/>
    <w:bookmarkStart w:id="61" w:name="full-mathematical-audit"/>
    <w:p>
      <w:pPr>
        <w:pStyle w:val="Heading2"/>
      </w:pPr>
      <w:r>
        <w:t xml:space="preserve">Full Mathematical Audit</w:t>
      </w:r>
    </w:p>
    <w:p>
      <w:pPr>
        <w:pStyle w:val="FirstParagraph"/>
      </w:pPr>
      <w:r>
        <w:t xml:space="preserve">I have examined the key definitions, theorems, and constructions for correctness and completeness:</w:t>
      </w:r>
    </w:p>
    <w:p>
      <w:pPr>
        <w:numPr>
          <w:ilvl w:val="0"/>
          <w:numId w:val="1002"/>
        </w:numPr>
      </w:pPr>
      <w:r>
        <w:rPr>
          <w:b/>
          <w:bCs/>
        </w:rPr>
        <w:t xml:space="preserve">Definitions &amp; Setup:</w:t>
      </w:r>
      <w:r>
        <w:t xml:space="preserve"> </w:t>
      </w:r>
      <w:r>
        <w:t xml:space="preserve">The generative space $\mathcal{X}$ and effective core $\mathcal{G}_{\rm eff}$ are defined rigorously</w:t>
      </w:r>
      <w:hyperlink r:id="rId22">
        <w:r>
          <w:rPr>
            <w:rStyle w:val="Hyperlink"/>
          </w:rPr>
          <w:t xml:space="preserve">[20]</w:t>
        </w:r>
      </w:hyperlink>
      <w:r>
        <w:t xml:space="preserve">. The canonical output $X(G)$ (Definition 1) and selected digit subsequence $d_G(j)$ are clear</w:t>
      </w:r>
      <w:hyperlink r:id="rId42">
        <w:r>
          <w:rPr>
            <w:rStyle w:val="Hyperlink"/>
          </w:rPr>
          <w:t xml:space="preserve">[21]</w:t>
        </w:r>
      </w:hyperlink>
      <w:hyperlink r:id="rId22">
        <w:r>
          <w:rPr>
            <w:rStyle w:val="Hyperlink"/>
          </w:rPr>
          <w:t xml:space="preserve">[22]</w:t>
        </w:r>
      </w:hyperlink>
      <w:r>
        <w:t xml:space="preserve">. The collapse map $\pi(G)=\sum_j d_G(j)/b^{j+1}$ (on $\mathcal{X}^*$) is well-defined</w:t>
      </w:r>
      <w:hyperlink r:id="rId21">
        <w:r>
          <w:rPr>
            <w:rStyle w:val="Hyperlink"/>
          </w:rPr>
          <w:t xml:space="preserve">[1]</w:t>
        </w:r>
      </w:hyperlink>
      <w:r>
        <w:t xml:space="preserve">. One should note the usual caveat that real numbers have two base-$b$ expansions (terminating vs. repeating), but this is inherent in any digit expansion. The paper seems to treat each chosen expansion arbitrarily (e.g. always use the terminating one or assume a fixed convention). This is a minor issue, but it might be worth clarifying that $\pi(G)$ is independent of choosing the terminating vs. repeating expansion. Overall, the setup is precise.</w:t>
      </w:r>
    </w:p>
    <w:p>
      <w:pPr>
        <w:numPr>
          <w:ilvl w:val="0"/>
          <w:numId w:val="1002"/>
        </w:numPr>
      </w:pPr>
      <w:r>
        <w:rPr>
          <w:b/>
          <w:bCs/>
        </w:rPr>
        <w:t xml:space="preserve">Collapse Map and Fibers:</w:t>
      </w:r>
      <w:r>
        <w:t xml:space="preserve"> </w:t>
      </w:r>
      <w:r>
        <w:t xml:space="preserve">Proposition (not explicitly numbered) asserts $\pi$ is continuous and fibers $\mathcal{F}(x)=\pi^{-1}({x})$ are closed</w:t>
      </w:r>
      <w:hyperlink r:id="rId28">
        <w:r>
          <w:rPr>
            <w:rStyle w:val="Hyperlink"/>
          </w:rPr>
          <w:t xml:space="preserve">[23]</w:t>
        </w:r>
      </w:hyperlink>
      <w:r>
        <w:t xml:space="preserve">. The proof given uses continuity of $\pi$ and the fact $[0,1]$ is Hausdorff, which is correct</w:t>
      </w:r>
      <w:hyperlink r:id="rId43">
        <w:r>
          <w:rPr>
            <w:rStyle w:val="Hyperlink"/>
          </w:rPr>
          <w:t xml:space="preserve">[24]</w:t>
        </w:r>
      </w:hyperlink>
      <w:r>
        <w:t xml:space="preserve">. Continuity of $\pi$ follows from continuity of the canonical output and the fact that each finite prefix of $d_G$ depends on a finite prefix of $(M,D)$</w:t>
      </w:r>
      <w:hyperlink r:id="rId44">
        <w:r>
          <w:rPr>
            <w:rStyle w:val="Hyperlink"/>
          </w:rPr>
          <w:t xml:space="preserve">[25]</w:t>
        </w:r>
      </w:hyperlink>
      <w:r>
        <w:t xml:space="preserve">. Surjectivity (Theorem 2.1) is trivial: for any $x$ take $M(n)=D$ and $D(n)=x_n$ (digits of $x$)</w:t>
      </w:r>
      <w:hyperlink r:id="rId25">
        <w:r>
          <w:rPr>
            <w:rStyle w:val="Hyperlink"/>
          </w:rPr>
          <w:t xml:space="preserve">[5]</w:t>
        </w:r>
      </w:hyperlink>
      <w:r>
        <w:t xml:space="preserve">. Effective surjectivity (Theorem 2.2) likewise holds by the same construction with a computable expansion</w:t>
      </w:r>
      <w:hyperlink r:id="rId27">
        <w:r>
          <w:rPr>
            <w:rStyle w:val="Hyperlink"/>
          </w:rPr>
          <w:t xml:space="preserve">[6]</w:t>
        </w:r>
      </w:hyperlink>
      <w:r>
        <w:t xml:space="preserve">. These are correct and fully justified.</w:t>
      </w:r>
    </w:p>
    <w:p>
      <w:pPr>
        <w:numPr>
          <w:ilvl w:val="0"/>
          <w:numId w:val="1002"/>
        </w:numPr>
      </w:pPr>
      <w:r>
        <w:rPr>
          <w:b/>
          <w:bCs/>
        </w:rPr>
        <w:t xml:space="preserve">Fiber Structure:</w:t>
      </w:r>
      <w:r>
        <w:t xml:space="preserve"> </w:t>
      </w:r>
      <w:r>
        <w:t xml:space="preserve">Remark 2.5 asserts that each fiber $\mathcal{F}(x)$ is closed, and for computable $x$ the effective fiber $\mathcal{F}</w:t>
      </w:r>
      <w:r>
        <w:rPr>
          <w:i/>
          <w:iCs/>
        </w:rPr>
        <w:t xml:space="preserve">{\rm eff}(x)$ is a $\Pi^0_1$ class</w:t>
      </w:r>
      <w:hyperlink r:id="rId45">
        <w:r>
          <w:rPr>
            <w:rStyle w:val="Hyperlink"/>
            <w:i/>
            <w:iCs/>
          </w:rPr>
          <w:t xml:space="preserve">[26]</w:t>
        </w:r>
      </w:hyperlink>
      <w:r>
        <w:rPr>
          <w:i/>
          <w:iCs/>
        </w:rPr>
        <w:t xml:space="preserve">. Closedness is immediate (continuous preimage of closed set). The descriptive-set characterization is plausible: for computable $x$, requiring $\pi(G)=x$ imposes a countable sequence of conditions $d_G(j)=x_j$, each checkable to arbitrary finite stage, so $\mathcal{F}</w:t>
      </w:r>
      <w:r>
        <w:t xml:space="preserve">(x)$ is indeed $\Pi^0_1$ (a common fact in computable analysis). This is stated without proof but is standard. It is consistent and correct.</w:t>
      </w:r>
    </w:p>
    <w:p>
      <w:pPr>
        <w:numPr>
          <w:ilvl w:val="0"/>
          <w:numId w:val="1002"/>
        </w:numPr>
      </w:pPr>
      <w:r>
        <w:rPr>
          <w:b/>
          <w:bCs/>
        </w:rPr>
        <w:t xml:space="preserve">Selector Regimes (Part II):</w:t>
      </w:r>
      <w:r>
        <w:t xml:space="preserve"> </w:t>
      </w:r>
      <w:r>
        <w:t xml:space="preserve">The density parameter $\eta(G)=\liminf_{n\to\infty}\frac1n|{k&lt;n:M(k)=D}|$ is introduced as “entropy balance”</w:t>
      </w:r>
      <w:hyperlink r:id="rId46">
        <w:r>
          <w:rPr>
            <w:rStyle w:val="Hyperlink"/>
          </w:rPr>
          <w:t xml:space="preserve">[27]</w:t>
        </w:r>
      </w:hyperlink>
      <w:r>
        <w:t xml:space="preserve">. Propositions about hybrid ($\eta&gt;0$) and null-density ($\eta=0$) identities are stated informally (summaries) and proved by explicit constructions. For example, effective hybrid universality is shown by alternating $M(n)=D$ and $K$ so that $M$ has density $1/2$, which certainly works</w:t>
      </w:r>
      <w:hyperlink r:id="rId47">
        <w:r>
          <w:rPr>
            <w:rStyle w:val="Hyperlink"/>
          </w:rPr>
          <w:t xml:space="preserve">[28]</w:t>
        </w:r>
      </w:hyperlink>
      <w:r>
        <w:t xml:space="preserve">. For null-density, the author uses a square-gap selector (with $M(n)=K$ except at perfect squares) to achieve density $0$ while enumerating a given $x$</w:t>
      </w:r>
      <w:hyperlink r:id="rId31">
        <w:r>
          <w:rPr>
            <w:rStyle w:val="Hyperlink"/>
          </w:rPr>
          <w:t xml:space="preserve">[10]</w:t>
        </w:r>
      </w:hyperlink>
      <w:r>
        <w:t xml:space="preserve">. These constructions are valid. The claim that</w:t>
      </w:r>
      <w:r>
        <w:t xml:space="preserve"> </w:t>
      </w:r>
      <w:r>
        <w:rPr>
          <w:i/>
          <w:iCs/>
        </w:rPr>
        <w:t xml:space="preserve">every</w:t>
      </w:r>
      <w:r>
        <w:t xml:space="preserve"> </w:t>
      </w:r>
      <w:r>
        <w:t xml:space="preserve">fiber contains infinitely many hybrids and null-density generators is plausible: one can always modify any generator on tails to increase or decrease density while preserving $\pi(G)$. (A rigorous proof would construct, for a given $x$, a family ${G_\alpha}$ with $\eta(G_\alpha)=\alpha$ in [0,1], which is done in Chapter 13.)</w:t>
      </w:r>
    </w:p>
    <w:p>
      <w:pPr>
        <w:numPr>
          <w:ilvl w:val="0"/>
          <w:numId w:val="1002"/>
        </w:numPr>
      </w:pPr>
      <w:r>
        <w:rPr>
          <w:b/>
          <w:bCs/>
        </w:rPr>
        <w:t xml:space="preserve">Projection Lattice (Part III, Ch 6):</w:t>
      </w:r>
      <w:r>
        <w:t xml:space="preserve"> </w:t>
      </w:r>
      <w:r>
        <w:t xml:space="preserve">A</w:t>
      </w:r>
      <w:r>
        <w:t xml:space="preserve"> </w:t>
      </w:r>
      <w:r>
        <w:rPr>
          <w:i/>
          <w:iCs/>
        </w:rPr>
        <w:t xml:space="preserve">structural projection</w:t>
      </w:r>
      <w:r>
        <w:t xml:space="preserve"> </w:t>
      </w:r>
      <w:r>
        <w:t xml:space="preserve">is any continuous map $\Phi:\mathcal{X}\to Y$</w:t>
      </w:r>
      <w:hyperlink r:id="rId22">
        <w:r>
          <w:rPr>
            <w:rStyle w:val="Hyperlink"/>
          </w:rPr>
          <w:t xml:space="preserve">[29]</w:t>
        </w:r>
      </w:hyperlink>
      <w:r>
        <w:t xml:space="preserve">. They order projections by refinement ($\Phi\preceq\Psi$ iff $\Psi(G)=\Psi(H)\implies \Phi(G)=\Phi(H)$)</w:t>
      </w:r>
      <w:hyperlink r:id="rId48">
        <w:r>
          <w:rPr>
            <w:rStyle w:val="Hyperlink"/>
          </w:rPr>
          <w:t xml:space="preserve">[30]</w:t>
        </w:r>
      </w:hyperlink>
      <w:r>
        <w:t xml:space="preserve">. These definitions are standard and coherent. The lattice operations (meet by product of values</w:t>
      </w:r>
      <w:hyperlink r:id="rId40">
        <w:r>
          <w:rPr>
            <w:rStyle w:val="Hyperlink"/>
          </w:rPr>
          <w:t xml:space="preserve">[31]</w:t>
        </w:r>
      </w:hyperlink>
      <w:r>
        <w:t xml:space="preserve">, arbitrary joins) are correct. In Proposition 6.6 (Collapse maximizes information loss</w:t>
      </w:r>
      <w:hyperlink r:id="rId43">
        <w:r>
          <w:rPr>
            <w:rStyle w:val="Hyperlink"/>
          </w:rPr>
          <w:t xml:space="preserve">[32]</w:t>
        </w:r>
      </w:hyperlink>
      <w:r>
        <w:t xml:space="preserve">), it is shown that any projection depending only on the real value is coarser than collapse. The proof is fine: if $\pi(G)=\pi(H)=x$, any magnitude-only observable $\Phi$ yields $\Phi(G)=\Phi(H)$. Thus $\Phi\preceq\pi$.</w:t>
      </w:r>
    </w:p>
    <w:p>
      <w:pPr>
        <w:pStyle w:val="FirstParagraph"/>
      </w:pPr>
      <w:r>
        <w:t xml:space="preserve">The</w:t>
      </w:r>
      <w:r>
        <w:t xml:space="preserve"> </w:t>
      </w:r>
      <w:r>
        <w:rPr>
          <w:i/>
          <w:iCs/>
        </w:rPr>
        <w:t xml:space="preserve">tail-freedom</w:t>
      </w:r>
      <w:r>
        <w:t xml:space="preserve"> </w:t>
      </w:r>
      <w:r>
        <w:t xml:space="preserve">proposition (6.8) simply restates continuity: any projection $\Phi$ can be made to vary by $&lt;\varepsilon$ after agreeing on a sufficiently long prefix</w:t>
      </w:r>
      <w:hyperlink r:id="rId43">
        <w:r>
          <w:rPr>
            <w:rStyle w:val="Hyperlink"/>
          </w:rPr>
          <w:t xml:space="preserve">[33]</w:t>
        </w:r>
      </w:hyperlink>
      <w:r>
        <w:t xml:space="preserve">. This is true by the product topology. Nothing problematic there.</w:t>
      </w:r>
    </w:p>
    <w:p>
      <w:pPr>
        <w:pStyle w:val="Compact"/>
        <w:numPr>
          <w:ilvl w:val="0"/>
          <w:numId w:val="1003"/>
        </w:numPr>
      </w:pPr>
      <w:r>
        <w:rPr>
          <w:b/>
          <w:bCs/>
        </w:rPr>
        <w:t xml:space="preserve">Computable Projections (Part III, Ch 7):</w:t>
      </w:r>
      <w:r>
        <w:t xml:space="preserve"> </w:t>
      </w:r>
      <w:r>
        <w:t xml:space="preserve">The concept of a computable structural projection is defined by requiring a</w:t>
      </w:r>
      <w:r>
        <w:t xml:space="preserve"> </w:t>
      </w:r>
      <w:r>
        <w:rPr>
          <w:i/>
          <w:iCs/>
        </w:rPr>
        <w:t xml:space="preserve">computable dependency bound</w:t>
      </w:r>
      <w:r>
        <w:t xml:space="preserve"> </w:t>
      </w:r>
      <w:r>
        <w:t xml:space="preserve">$B_\Phi(\varepsilon)$</w:t>
      </w:r>
      <w:hyperlink r:id="rId22">
        <w:r>
          <w:rPr>
            <w:rStyle w:val="Hyperlink"/>
          </w:rPr>
          <w:t xml:space="preserve">[34]</w:t>
        </w:r>
      </w:hyperlink>
      <w:r>
        <w:t xml:space="preserve">: on each precision scale $\varepsilon$, agreement on the first $B_\Phi(\varepsilon)$ symbols of $(M,D,K)$ forces $|\Phi(G)-\Phi(H)|&lt;\varepsilon$. The finite-lookahead principle then says every computable projection has such a bound (this follows from effective continuity of type-2 computable functions). The Prefix-Stabilization Proposition (7.1)</w:t>
      </w:r>
      <w:hyperlink r:id="rId49">
        <w:r>
          <w:rPr>
            <w:rStyle w:val="Hyperlink"/>
          </w:rPr>
          <w:t xml:space="preserve">[35]</w:t>
        </w:r>
      </w:hyperlink>
      <w:r>
        <w:t xml:space="preserve"> </w:t>
      </w:r>
      <w:r>
        <w:t xml:space="preserve">is correct: if $H_n$ eventually agree with $G$ up to $B_\Phi(\varepsilon)$, then $\Phi(H_n)\to\Phi(G)$ by definition of $B_\Phi$.</w:t>
      </w:r>
    </w:p>
    <w:p>
      <w:pPr>
        <w:pStyle w:val="FirstParagraph"/>
      </w:pPr>
      <w:r>
        <w:t xml:space="preserve">No issues here. The discussion of lattice operations shows that meets and finite joins of computable projections are computable (with obvious combined bounds)</w:t>
      </w:r>
      <w:hyperlink r:id="rId50">
        <w:r>
          <w:rPr>
            <w:rStyle w:val="Hyperlink"/>
          </w:rPr>
          <w:t xml:space="preserve">[36]</w:t>
        </w:r>
      </w:hyperlink>
      <w:r>
        <w:t xml:space="preserve">. The remark that infinite joins might fail to be computable (due to lack of uniform bound) is accurate. All statements in Chapter 7 align with standard results in computable analysis and are justified.</w:t>
      </w:r>
    </w:p>
    <w:p>
      <w:pPr>
        <w:numPr>
          <w:ilvl w:val="0"/>
          <w:numId w:val="1004"/>
        </w:numPr>
      </w:pPr>
      <w:r>
        <w:rPr>
          <w:b/>
          <w:bCs/>
        </w:rPr>
        <w:t xml:space="preserve">Projective Incompatibility (Part III, Ch 8):</w:t>
      </w:r>
      <w:r>
        <w:t xml:space="preserve"> </w:t>
      </w:r>
      <w:r>
        <w:t xml:space="preserve">The notion that two projections $\Phi,\Psi$ may have incompatible prefix constraints is introduced. Definition 8.2 formalizes compatibility: there must exist some mechanism $G$ whose prefixes simultaneously stabilize both $\Phi$ and $\Psi$ to within any $\varepsilon$</w:t>
      </w:r>
      <w:hyperlink r:id="rId51">
        <w:r>
          <w:rPr>
            <w:rStyle w:val="Hyperlink"/>
          </w:rPr>
          <w:t xml:space="preserve">[37]</w:t>
        </w:r>
      </w:hyperlink>
      <w:r>
        <w:t xml:space="preserve">. The</w:t>
      </w:r>
      <w:r>
        <w:t xml:space="preserve"> </w:t>
      </w:r>
      <w:r>
        <w:rPr>
          <w:i/>
          <w:iCs/>
        </w:rPr>
        <w:t xml:space="preserve">Basic Incompatibility Criterion</w:t>
      </w:r>
      <w:r>
        <w:t xml:space="preserve"> </w:t>
      </w:r>
      <w:r>
        <w:t xml:space="preserve">(Prop. 8.5)</w:t>
      </w:r>
      <w:hyperlink r:id="rId43">
        <w:r>
          <w:rPr>
            <w:rStyle w:val="Hyperlink"/>
          </w:rPr>
          <w:t xml:space="preserve">[38]</w:t>
        </w:r>
      </w:hyperlink>
      <w:r>
        <w:t xml:space="preserve"> </w:t>
      </w:r>
      <w:r>
        <w:t xml:space="preserve">is intuitively clear and its proof is straightforward: if for some $\varepsilon$ the $\varepsilon$-prefix required by $\Phi$ forces one symbol in $M,D,K$ and the prefix for $\Psi$ forces a different symbol at the same position, they cannot be jointly satisfied, so incompatible. This is correct. The examples mentioned (one wants high density, another long gaps) also illustrate this, though explicit examples would strengthen the text. The abstract treatment seems fine; the main goal is to prepare for the diagonal argument.</w:t>
      </w:r>
    </w:p>
    <w:p>
      <w:pPr>
        <w:numPr>
          <w:ilvl w:val="0"/>
          <w:numId w:val="1004"/>
        </w:numPr>
      </w:pPr>
      <w:r>
        <w:rPr>
          <w:b/>
          <w:bCs/>
        </w:rPr>
        <w:t xml:space="preserve">Meta-Diagonalizer &amp; Incompleteness (Part IV, Ch 9):</w:t>
      </w:r>
      <w:r>
        <w:t xml:space="preserve"> </w:t>
      </w:r>
      <w:r>
        <w:t xml:space="preserve">This is the most intricate part. Lemma 9.2 (Digit-Index Alignment)</w:t>
      </w:r>
      <w:hyperlink r:id="rId52">
        <w:r>
          <w:rPr>
            <w:rStyle w:val="Hyperlink"/>
          </w:rPr>
          <w:t xml:space="preserve">[39]</w:t>
        </w:r>
      </w:hyperlink>
      <w:r>
        <w:t xml:space="preserve"> </w:t>
      </w:r>
      <w:r>
        <w:t xml:space="preserve">asserts that given two generators $H,A$ in the</w:t>
      </w:r>
      <w:r>
        <w:t xml:space="preserve"> </w:t>
      </w:r>
      <w:r>
        <w:rPr>
          <w:i/>
          <w:iCs/>
        </w:rPr>
        <w:t xml:space="preserve">same fiber</w:t>
      </w:r>
      <w:r>
        <w:t xml:space="preserve"> </w:t>
      </w:r>
      <w:r>
        <w:t xml:space="preserve">$\mathcal{F}(x)$, one can align the $k$-th digit of $H$ with the $k$-th digit of $A$. The proof is hand-wavy but correct: since both enumerate the same digit sequence of $x$, the $k$-th digit occurs at some index; counting digits up to a certain index $L$ in $H$ and matching to $A$ yields a unique $L'$. This preserves the real value when sewing tails.</w:t>
      </w:r>
    </w:p>
    <w:p>
      <w:pPr>
        <w:pStyle w:val="FirstParagraph"/>
      </w:pPr>
      <w:r>
        <w:t xml:space="preserve">Definition “Tail Sewing”</w:t>
      </w:r>
      <w:hyperlink r:id="rId22">
        <w:r>
          <w:rPr>
            <w:rStyle w:val="Hyperlink"/>
          </w:rPr>
          <w:t xml:space="preserve">[40]</w:t>
        </w:r>
      </w:hyperlink>
      <w:r>
        <w:t xml:space="preserve"> </w:t>
      </w:r>
      <w:r>
        <w:t xml:space="preserve">stitches $A$’s tail onto $H$ at aligned indices. Lemma 9.4 (Stability)</w:t>
      </w:r>
      <w:hyperlink r:id="rId53">
        <w:r>
          <w:rPr>
            <w:rStyle w:val="Hyperlink"/>
          </w:rPr>
          <w:t xml:space="preserve">[41]</w:t>
        </w:r>
      </w:hyperlink>
      <w:r>
        <w:t xml:space="preserve"> </w:t>
      </w:r>
      <w:r>
        <w:t xml:space="preserve">then shows that if we sew in at a stage $L\ge B_{\mathcal{P}}(\varepsilon)$, all projections in the finite family $\mathcal{P}$ (with bound $B_{\mathcal{P}}$) will not notice the change, so $|\Phi_i(G)-\Phi_i(H)|&lt;\varepsilon$ for each $\Phi_i$. This is correct by construction.</w:t>
      </w:r>
    </w:p>
    <w:p>
      <w:pPr>
        <w:pStyle w:val="BodyText"/>
      </w:pPr>
      <w:r>
        <w:t xml:space="preserve">The stage construction builds $G_k$ by repeatedly sewing in tails $A_k$ that diverge from $H$ on some projection by $&gt;3\varepsilon_k$ at each stage. The convergence lemma</w:t>
      </w:r>
      <w:hyperlink r:id="rId54">
        <w:r>
          <w:rPr>
            <w:rStyle w:val="Hyperlink"/>
          </w:rPr>
          <w:t xml:space="preserve">[42]</w:t>
        </w:r>
      </w:hyperlink>
      <w:r>
        <w:t xml:space="preserve"> </w:t>
      </w:r>
      <w:r>
        <w:t xml:space="preserve">ensures the limit $G^#$ is well-defined (each coordinate stabilizes). The final Meta-Diagonalizer Theorem (9.5)</w:t>
      </w:r>
      <w:hyperlink r:id="rId55">
        <w:r>
          <w:rPr>
            <w:rStyle w:val="Hyperlink"/>
          </w:rPr>
          <w:t xml:space="preserve">[43]</w:t>
        </w:r>
      </w:hyperlink>
      <w:r>
        <w:t xml:space="preserve"> </w:t>
      </w:r>
      <w:r>
        <w:t xml:space="preserve">concludes that $G^#$ remains in the same fiber (thus $\pi(G^#)=x$) and for each $\Phi_i$ eventually $|\Phi_i(G^#)-\Phi_i(H)|&gt;0$ (in fact by at least $2\varepsilon_k$ at some stage). The proof sketch is convincing: each stage ensures a new projection sees a discrepancy beyond what any finite prefix can capture.</w:t>
      </w:r>
    </w:p>
    <w:p>
      <w:pPr>
        <w:pStyle w:val="BodyText"/>
      </w:pPr>
      <w:r>
        <w:t xml:space="preserve">The only subtlety is ensuring</w:t>
      </w:r>
      <w:r>
        <w:t xml:space="preserve"> </w:t>
      </w:r>
      <w:r>
        <w:rPr>
          <w:i/>
          <w:iCs/>
        </w:rPr>
        <w:t xml:space="preserve">every</w:t>
      </w:r>
      <w:r>
        <w:t xml:space="preserve"> </w:t>
      </w:r>
      <w:r>
        <w:t xml:space="preserve">projection in $\mathcal{P}$ is eventually used. The text says “$\Phi_i(G^#)\neq\Phi_i(H)$ for each $i$”</w:t>
      </w:r>
      <w:hyperlink r:id="rId56">
        <w:r>
          <w:rPr>
            <w:rStyle w:val="Hyperlink"/>
          </w:rPr>
          <w:t xml:space="preserve">[44]</w:t>
        </w:r>
      </w:hyperlink>
      <w:r>
        <w:t xml:space="preserve">. Implicitly this requires choosing the divergent index $i$ at each stage in a cycle so that each $\Phi_i$ is covered infinitely often. The write-up does not explicitly say how to ensure that, but one can simply enumerate $\mathcal{P}={\Phi_1,\dots,\Phi_r}$ cyclically. I assume the author has this in mind. Otherwise, the logic holds. Thus the Structural Incompleteness Theorem (stated in Part IV summary) follows: no finite family of computable invariants can distinguish all generators in a fiber.</w:t>
      </w:r>
    </w:p>
    <w:p>
      <w:pPr>
        <w:pStyle w:val="BodyText"/>
      </w:pPr>
      <w:r>
        <w:rPr>
          <w:b/>
          <w:bCs/>
        </w:rPr>
        <w:t xml:space="preserve">Conclusion on Part IV:</w:t>
      </w:r>
      <w:r>
        <w:t xml:space="preserve"> </w:t>
      </w:r>
      <w:r>
        <w:t xml:space="preserve">The diagonalization argument is standard but carefully adapted to this setting. I see no logical error. All steps are justified once one accepts the existence-of-witness lemma (9.1) by $\Pi^0_1$ class non-injectivity.</w:t>
      </w:r>
    </w:p>
    <w:p>
      <w:pPr>
        <w:numPr>
          <w:ilvl w:val="0"/>
          <w:numId w:val="1005"/>
        </w:numPr>
      </w:pPr>
      <w:r>
        <w:rPr>
          <w:b/>
          <w:bCs/>
        </w:rPr>
        <w:t xml:space="preserve">Classical Continuum as Quotient (Part V, Ch 11):</w:t>
      </w:r>
      <w:r>
        <w:t xml:space="preserve"> </w:t>
      </w:r>
      <w:r>
        <w:t xml:space="preserve">Theorem 11.1 (quotient homeomorphism) states that collapsing all fibers yields $[0,1]$. The proof</w:t>
      </w:r>
      <w:hyperlink r:id="rId24">
        <w:r>
          <w:rPr>
            <w:rStyle w:val="Hyperlink"/>
          </w:rPr>
          <w:t xml:space="preserve">[4]</w:t>
        </w:r>
      </w:hyperlink>
      <w:r>
        <w:t xml:space="preserve"> </w:t>
      </w:r>
      <w:r>
        <w:t xml:space="preserve">correctly observes that $\pi$ is a continuous surjection and the equivalence relation $\sim_\pi$ is closed, so the quotient $\mathcal{X}^</w:t>
      </w:r>
      <w:r>
        <w:rPr>
          <w:i/>
          <w:iCs/>
        </w:rPr>
        <w:t xml:space="preserve">/!\sim_\pi$ is compact Hausdorff and maps bijectively to $[0,1]$. This is a classical topology argument. The corollary that $\mathcal{X}^</w:t>
      </w:r>
      <w:r>
        <w:t xml:space="preserve">/!\sim_\pi\cong [0,1]$ is sound. It matches the earlier intuitive statement. No issues here.</w:t>
      </w:r>
    </w:p>
    <w:p>
      <w:pPr>
        <w:numPr>
          <w:ilvl w:val="0"/>
          <w:numId w:val="1005"/>
        </w:numPr>
      </w:pPr>
      <w:r>
        <w:rPr>
          <w:b/>
          <w:bCs/>
        </w:rPr>
        <w:t xml:space="preserve">Extended Invariants (Part VI, Ch 13-15):</w:t>
      </w:r>
      <w:r>
        <w:t xml:space="preserve"> </w:t>
      </w:r>
      <w:r>
        <w:t xml:space="preserve">The paper proposes additional structural coordinates beyond magnitude. The key ones are</w:t>
      </w:r>
      <w:r>
        <w:t xml:space="preserve"> </w:t>
      </w:r>
      <w:r>
        <w:rPr>
          <w:b/>
          <w:bCs/>
        </w:rPr>
        <w:t xml:space="preserve">entropy balance</w:t>
      </w:r>
      <w:r>
        <w:t xml:space="preserve"> </w:t>
      </w:r>
      <w:r>
        <w:t xml:space="preserve">$\eta(G)=\liminf$ of digit-frequency</w:t>
      </w:r>
      <w:hyperlink r:id="rId46">
        <w:r>
          <w:rPr>
            <w:rStyle w:val="Hyperlink"/>
          </w:rPr>
          <w:t xml:space="preserve">[27]</w:t>
        </w:r>
      </w:hyperlink>
      <w:r>
        <w:t xml:space="preserve"> </w:t>
      </w:r>
      <w:r>
        <w:t xml:space="preserve">and</w:t>
      </w:r>
      <w:r>
        <w:t xml:space="preserve"> </w:t>
      </w:r>
      <w:r>
        <w:rPr>
          <w:b/>
          <w:bCs/>
        </w:rPr>
        <w:t xml:space="preserve">fluctuation index</w:t>
      </w:r>
      <w:r>
        <w:t xml:space="preserve"> </w:t>
      </w:r>
      <w:r>
        <w:t xml:space="preserve">$\phi(G)=\limsup$ of normalized gap lengths</w:t>
      </w:r>
      <w:hyperlink r:id="rId57">
        <w:r>
          <w:rPr>
            <w:rStyle w:val="Hyperlink"/>
          </w:rPr>
          <w:t xml:space="preserve">[45]</w:t>
        </w:r>
      </w:hyperlink>
      <w:r>
        <w:t xml:space="preserve">. The text claims these are “prefix-determined, continuous structural projections”</w:t>
      </w:r>
      <w:hyperlink r:id="rId58">
        <w:r>
          <w:rPr>
            <w:rStyle w:val="Hyperlink"/>
          </w:rPr>
          <w:t xml:space="preserve">[46]</w:t>
        </w:r>
      </w:hyperlink>
      <w:hyperlink r:id="rId39">
        <w:r>
          <w:rPr>
            <w:rStyle w:val="Hyperlink"/>
          </w:rPr>
          <w:t xml:space="preserve">[18]</w:t>
        </w:r>
      </w:hyperlink>
      <w:r>
        <w:t xml:space="preserve">. However, this is</w:t>
      </w:r>
      <w:r>
        <w:t xml:space="preserve"> </w:t>
      </w:r>
      <w:r>
        <w:rPr>
          <w:b/>
          <w:bCs/>
        </w:rPr>
        <w:t xml:space="preserve">incorrect</w:t>
      </w:r>
      <w:r>
        <w:t xml:space="preserve">: in fact, $\eta$ and $\phi$ are</w:t>
      </w:r>
      <w:r>
        <w:t xml:space="preserve"> </w:t>
      </w:r>
      <w:r>
        <w:rPr>
          <w:i/>
          <w:iCs/>
        </w:rPr>
        <w:t xml:space="preserve">not</w:t>
      </w:r>
      <w:r>
        <w:t xml:space="preserve"> </w:t>
      </w:r>
      <w:r>
        <w:t xml:space="preserve">continuous in the product topology on $\mathcal{X}$. I will illustrate the flaw:</w:t>
      </w:r>
    </w:p>
    <w:p>
      <w:pPr>
        <w:numPr>
          <w:ilvl w:val="0"/>
          <w:numId w:val="1005"/>
        </w:numPr>
      </w:pPr>
      <w:r>
        <w:rPr>
          <w:i/>
          <w:iCs/>
        </w:rPr>
        <w:t xml:space="preserve">Entropy balance $\eta(G)$:</w:t>
      </w:r>
      <w:r>
        <w:t xml:space="preserve"> </w:t>
      </w:r>
      <w:r>
        <w:t xml:space="preserve">Suppose two generative identities $G,H$ agree on the first $N$ coordinates. They could differ dramatically afterwards. For example, let $G$ be such that $M_G(k)=D$ for $k&lt;N$ and then</w:t>
      </w:r>
      <w:r>
        <w:t xml:space="preserve"> </w:t>
      </w:r>
      <w:r>
        <w:rPr>
          <w:i/>
          <w:iCs/>
        </w:rPr>
        <w:t xml:space="preserve">never</w:t>
      </w:r>
      <w:r>
        <w:t xml:space="preserve"> </w:t>
      </w:r>
      <w:r>
        <w:t xml:space="preserve">again (so $\eta(G)=0$), while let $H$ coincide on those $N$ positions and then choose $M_H(k)=D$ for</w:t>
      </w:r>
      <w:r>
        <w:t xml:space="preserve"> </w:t>
      </w:r>
      <w:r>
        <w:rPr>
          <w:i/>
          <w:iCs/>
        </w:rPr>
        <w:t xml:space="preserve">all</w:t>
      </w:r>
      <w:r>
        <w:t xml:space="preserve"> </w:t>
      </w:r>
      <w:r>
        <w:t xml:space="preserve">$k\ge N$ (so $\eta(H)=1$). For any finite $N$, both selectors share the same prefix but $\eta(G)=0$ and $\eta(H)=1$. This shows $\eta$ is</w:t>
      </w:r>
      <w:r>
        <w:t xml:space="preserve"> </w:t>
      </w:r>
      <w:r>
        <w:rPr>
          <w:i/>
          <w:iCs/>
        </w:rPr>
        <w:t xml:space="preserve">not continuous</w:t>
      </w:r>
      <w:r>
        <w:t xml:space="preserve">: arbitrarily close (identical on a long prefix) can have very different $\eta$ values. The “proof” in the manuscript</w:t>
      </w:r>
      <w:hyperlink r:id="rId38">
        <w:r>
          <w:rPr>
            <w:rStyle w:val="Hyperlink"/>
          </w:rPr>
          <w:t xml:space="preserve">[17]</w:t>
        </w:r>
      </w:hyperlink>
      <w:r>
        <w:t xml:space="preserve"> </w:t>
      </w:r>
      <w:r>
        <w:t xml:space="preserve">incorrectly assumes that if two selectors agree on the first $N$, their future finite-frequency averages differ by only $\varepsilon$. But in fact, the $\liminf$ of those frequencies can change from $0$ to $1$. Thus Proposition 13.2 is false. Similarly, the claim that $\eta$ is prefix-determined to within $\varepsilon$ is misleading. We see that $\eta$ is only</w:t>
      </w:r>
      <w:r>
        <w:t xml:space="preserve"> </w:t>
      </w:r>
      <w:r>
        <w:rPr>
          <w:b/>
          <w:bCs/>
        </w:rPr>
        <w:t xml:space="preserve">lower-semicontinuous</w:t>
      </w:r>
      <w:r>
        <w:t xml:space="preserve"> </w:t>
      </w:r>
      <w:r>
        <w:t xml:space="preserve">(if the prefix has a lot of digits, any extension with fewer digits won’t raise the liminf) but not truly continuous.</w:t>
      </w:r>
    </w:p>
    <w:p>
      <w:pPr>
        <w:numPr>
          <w:ilvl w:val="0"/>
          <w:numId w:val="1005"/>
        </w:numPr>
      </w:pPr>
      <w:r>
        <w:rPr>
          <w:i/>
          <w:iCs/>
        </w:rPr>
        <w:t xml:space="preserve">Fluctuation index $\phi(G)$:</w:t>
      </w:r>
      <w:r>
        <w:t xml:space="preserve"> </w:t>
      </w:r>
      <w:r>
        <w:t xml:space="preserve">A similar issue arises. Two sequences agreeing on a long prefix can have arbitrarily different $\limsup$ gap ratios. E.g. let $G$ have no digit after position $N$ ($\phi(G)=1$) and $H$ have a digit immediately at $N+1$ and then regularly ($\phi(H)=0$), while sharing first $N$. Again, $\phi$ jumps from 0 to 1 across identical prefixes. The text’s Proposition 14.2</w:t>
      </w:r>
      <w:hyperlink r:id="rId39">
        <w:r>
          <w:rPr>
            <w:rStyle w:val="Hyperlink"/>
          </w:rPr>
          <w:t xml:space="preserve">[18]</w:t>
        </w:r>
      </w:hyperlink>
      <w:r>
        <w:t xml:space="preserve"> </w:t>
      </w:r>
      <w:r>
        <w:t xml:space="preserve">“proof” assumes that once you look past $N=1/\varepsilon$, the ratio $\Phi_n/n$ is determined to within $\varepsilon$, but that is not true when new large gaps can appear.</w:t>
      </w:r>
    </w:p>
    <w:p>
      <w:pPr>
        <w:pStyle w:val="FirstParagraph"/>
      </w:pPr>
      <w:r>
        <w:t xml:space="preserve">Because of these issues, $\eta$ and $\phi$ fail the formal definition of a continuous structural projection. They are valid structural</w:t>
      </w:r>
      <w:r>
        <w:t xml:space="preserve"> </w:t>
      </w:r>
      <w:r>
        <w:rPr>
          <w:i/>
          <w:iCs/>
        </w:rPr>
        <w:t xml:space="preserve">functions</w:t>
      </w:r>
      <w:r>
        <w:t xml:space="preserve"> </w:t>
      </w:r>
      <w:r>
        <w:t xml:space="preserve">but not continuous maps. The remedy would be to note that $\eta,\phi$ are monotone limits of continuous projections (as the author indeed suggests: $\eta=\inf_n \Phi_n$</w:t>
      </w:r>
      <w:hyperlink r:id="rId59">
        <w:r>
          <w:rPr>
            <w:rStyle w:val="Hyperlink"/>
          </w:rPr>
          <w:t xml:space="preserve">[47]</w:t>
        </w:r>
      </w:hyperlink>
      <w:r>
        <w:t xml:space="preserve">, $\phi=\sup_n (\Phi_n/n)$</w:t>
      </w:r>
      <w:hyperlink r:id="rId60">
        <w:r>
          <w:rPr>
            <w:rStyle w:val="Hyperlink"/>
          </w:rPr>
          <w:t xml:space="preserve">[48]</w:t>
        </w:r>
      </w:hyperlink>
      <w:r>
        <w:t xml:space="preserve">). These are</w:t>
      </w:r>
      <w:r>
        <w:t xml:space="preserve"> </w:t>
      </w:r>
      <w:r>
        <w:rPr>
          <w:i/>
          <w:iCs/>
        </w:rPr>
        <w:t xml:space="preserve">projectively</w:t>
      </w:r>
      <w:r>
        <w:t xml:space="preserve"> </w:t>
      </w:r>
      <w:r>
        <w:t xml:space="preserve">defined invariants (infimum/supremum of a sequence of continuous maps), but strictly they are not continuous themselves. This does not break the core of the theory, but it means statements about continuity/prefix-determination must be revised: $\eta$ and $\phi$ are</w:t>
      </w:r>
      <w:r>
        <w:t xml:space="preserve"> </w:t>
      </w:r>
      <w:r>
        <w:rPr>
          <w:b/>
          <w:bCs/>
        </w:rPr>
        <w:t xml:space="preserve">not</w:t>
      </w:r>
      <w:r>
        <w:t xml:space="preserve"> </w:t>
      </w:r>
      <w:r>
        <w:t xml:space="preserve">continuous; they are only computed by examining longer and longer prefixes. I treat this as a</w:t>
      </w:r>
      <w:r>
        <w:t xml:space="preserve"> </w:t>
      </w:r>
      <w:r>
        <w:rPr>
          <w:b/>
          <w:bCs/>
        </w:rPr>
        <w:t xml:space="preserve">significant flaw in exposition</w:t>
      </w:r>
      <w:r>
        <w:t xml:space="preserve">, but it doesn’t invalidate other theorems. It does affect claims like “$\eta$ is a legitimate structural projection”</w:t>
      </w:r>
      <w:hyperlink r:id="rId38">
        <w:r>
          <w:rPr>
            <w:rStyle w:val="Hyperlink"/>
          </w:rPr>
          <w:t xml:space="preserve">[17]</w:t>
        </w:r>
      </w:hyperlink>
      <w:r>
        <w:t xml:space="preserve"> </w:t>
      </w:r>
      <w:r>
        <w:t xml:space="preserve">and similarly for $\phi$. Those statements need correction (e.g. “$\eta$ is prefix-determined but not continuous”).</w:t>
      </w:r>
    </w:p>
    <w:p>
      <w:pPr>
        <w:pStyle w:val="Compact"/>
        <w:numPr>
          <w:ilvl w:val="0"/>
          <w:numId w:val="1006"/>
        </w:numPr>
      </w:pPr>
      <w:r>
        <w:rPr>
          <w:b/>
          <w:bCs/>
        </w:rPr>
        <w:t xml:space="preserve">Other Lemmas/Theorems:</w:t>
      </w:r>
      <w:r>
        <w:t xml:space="preserve"> </w:t>
      </w:r>
      <w:r>
        <w:t xml:space="preserve">I checked smaller results such as the existence of hybrid/null generators in effective core (Thm 2.4, 2.5) and those all have valid constructions. The usage of topology and computability is consistent. There is no hidden use of non-ZF axioms. The only “non-constructive” part is the existential search in the $\Pi^0_1$ class, but that is acceptable in a non-effective theorem. There is no circular logic: each definition is used later but not vice-versa without justification.</w:t>
      </w:r>
    </w:p>
    <w:p>
      <w:pPr>
        <w:pStyle w:val="FirstParagraph"/>
      </w:pPr>
      <w:r>
        <w:t xml:space="preserve">In summary, the</w:t>
      </w:r>
      <w:r>
        <w:t xml:space="preserve"> </w:t>
      </w:r>
      <w:r>
        <w:rPr>
          <w:b/>
          <w:bCs/>
        </w:rPr>
        <w:t xml:space="preserve">mathematical content is mostly sound</w:t>
      </w:r>
      <w:r>
        <w:t xml:space="preserve">. The only critical issue is the misstatement of continuity for the entropy and fluctuation invariants. This should be corrected. (All other proofs I checked are valid.) The conceptual definitions of the generative manifold, collapse fibers, projections, and diagonalization are coherent and logically complete.</w:t>
      </w:r>
    </w:p>
    <w:bookmarkEnd w:id="61"/>
    <w:bookmarkStart w:id="63" w:name="structural-expository-review"/>
    <w:p>
      <w:pPr>
        <w:pStyle w:val="Heading2"/>
      </w:pPr>
      <w:r>
        <w:t xml:space="preserve">Structural &amp; Expository Review</w:t>
      </w:r>
    </w:p>
    <w:p>
      <w:pPr>
        <w:numPr>
          <w:ilvl w:val="0"/>
          <w:numId w:val="1007"/>
        </w:numPr>
      </w:pPr>
      <w:r>
        <w:rPr>
          <w:b/>
          <w:bCs/>
        </w:rPr>
        <w:t xml:space="preserve">Organization:</w:t>
      </w:r>
      <w:r>
        <w:t xml:space="preserve"> </w:t>
      </w:r>
      <w:r>
        <w:t xml:space="preserve">The chapters are arranged logically. Part I sets up the space $\mathcal{X}$ and collapse map. Part II explores extreme selector behaviors (dense vs. sparse). Part III builds general projection theory. Part IV proves the incompleteness. Part V interprets the quotient. Part VI extends to other invariants. This progression makes sense: first define, then analyze special cases, then general theory, then central theorem, then interpretation and extension. The preludes to each Part and chapter help guide the reader. I found the</w:t>
      </w:r>
      <w:r>
        <w:t xml:space="preserve"> </w:t>
      </w:r>
      <w:r>
        <w:rPr>
          <w:b/>
          <w:bCs/>
        </w:rPr>
        <w:t xml:space="preserve">flow coherent</w:t>
      </w:r>
      <w:r>
        <w:t xml:space="preserve"> </w:t>
      </w:r>
      <w:r>
        <w:t xml:space="preserve">overall.</w:t>
      </w:r>
    </w:p>
    <w:p>
      <w:pPr>
        <w:numPr>
          <w:ilvl w:val="0"/>
          <w:numId w:val="1007"/>
        </w:numPr>
      </w:pPr>
      <w:r>
        <w:rPr>
          <w:b/>
          <w:bCs/>
        </w:rPr>
        <w:t xml:space="preserve">Chapter Ordering:</w:t>
      </w:r>
      <w:r>
        <w:t xml:space="preserve"> </w:t>
      </w:r>
      <w:r>
        <w:t xml:space="preserve">The ordering is sensible. One minor suggestion: Chapter 11 (quotient view of continuum) is quite short (maybe one section) and could conceivably be a subsection of Chapter 2 or 3. But as a separate chapter it emphasizes the big picture. The division into Parts I–VI with summaries at the start (like on page 1) is helpful.</w:t>
      </w:r>
    </w:p>
    <w:p>
      <w:pPr>
        <w:numPr>
          <w:ilvl w:val="0"/>
          <w:numId w:val="1007"/>
        </w:numPr>
      </w:pPr>
      <w:r>
        <w:rPr>
          <w:b/>
          <w:bCs/>
        </w:rPr>
        <w:t xml:space="preserve">Prelude and Summaries:</w:t>
      </w:r>
      <w:r>
        <w:t xml:space="preserve"> </w:t>
      </w:r>
      <w:r>
        <w:t xml:space="preserve">The prelude nicely motivates the work. Each part has a summary section (e.g. “Summary of Part V”) outlining goals. This is good. The introduction could perhaps more explicitly state</w:t>
      </w:r>
      <w:r>
        <w:t xml:space="preserve"> </w:t>
      </w:r>
      <w:r>
        <w:rPr>
          <w:i/>
          <w:iCs/>
        </w:rPr>
        <w:t xml:space="preserve">novelty</w:t>
      </w:r>
      <w:r>
        <w:t xml:space="preserve"> </w:t>
      </w:r>
      <w:r>
        <w:t xml:space="preserve">and relate to prior work. Currently, the paper claims originality but gives no references to related literature. It would strengthen the exposition to briefly mention how this differs from, say, classical expansions, symbolic dynamics, or any prior attempts to structure the continuum.</w:t>
      </w:r>
    </w:p>
    <w:p>
      <w:pPr>
        <w:numPr>
          <w:ilvl w:val="0"/>
          <w:numId w:val="1007"/>
        </w:numPr>
      </w:pPr>
      <w:r>
        <w:rPr>
          <w:b/>
          <w:bCs/>
        </w:rPr>
        <w:t xml:space="preserve">Terminology Consistency:</w:t>
      </w:r>
      <w:r>
        <w:t xml:space="preserve"> </w:t>
      </w:r>
      <w:r>
        <w:t xml:space="preserve">Generally consistent. The key terms (“generative identity”, “collapse”, “fiber”, “selector”, “entropy balance”, “fluctuation index”) are used uniformly once defined. The notation $G=(M,D,K)$ is maintained. One slight issue: sometimes “structural projection” is defined for maps on $\mathcal{X}$ but is applied to collapse $\pi:\mathcal{X}^</w:t>
      </w:r>
      <w:r>
        <w:rPr>
          <w:i/>
          <w:iCs/>
        </w:rPr>
        <w:t xml:space="preserve">\to[0,1]$ (which has domain $\mathcal{X}^</w:t>
      </w:r>
      <w:r>
        <w:t xml:space="preserve">$). This is not harmful but could be clarified that $\pi$ is a projection on the subspace of digit-selecting identities. Also, “extended invariants” terminology (in Ch. 12) might confuse readers; the concept is explained but feels a bit overloaded.</w:t>
      </w:r>
    </w:p>
    <w:p>
      <w:pPr>
        <w:numPr>
          <w:ilvl w:val="0"/>
          <w:numId w:val="1007"/>
        </w:numPr>
      </w:pPr>
      <w:r>
        <w:rPr>
          <w:b/>
          <w:bCs/>
        </w:rPr>
        <w:t xml:space="preserve">Appendices:</w:t>
      </w:r>
      <w:r>
        <w:t xml:space="preserve"> </w:t>
      </w:r>
      <w:r>
        <w:t xml:space="preserve">The two appendices (Appendix A: Topological structure summary, Appendix B: Dependency bounds) are useful references. Appendix A neatly collects continuity facts</w:t>
      </w:r>
      <w:hyperlink r:id="rId62">
        <w:r>
          <w:rPr>
            <w:rStyle w:val="Hyperlink"/>
          </w:rPr>
          <w:t xml:space="preserve">[49]</w:t>
        </w:r>
      </w:hyperlink>
      <w:hyperlink r:id="rId29">
        <w:r>
          <w:rPr>
            <w:rStyle w:val="Hyperlink"/>
          </w:rPr>
          <w:t xml:space="preserve">[50]</w:t>
        </w:r>
      </w:hyperlink>
      <w:r>
        <w:t xml:space="preserve">. Appendix B on dependency bounds formalizes what was used informally in Ch 7–8. Their integration is good: the main text refers to “dependency bounds” without proof, which Appendix B provides. The appendices do not distract and are well organized.</w:t>
      </w:r>
    </w:p>
    <w:p>
      <w:pPr>
        <w:numPr>
          <w:ilvl w:val="0"/>
          <w:numId w:val="1007"/>
        </w:numPr>
      </w:pPr>
      <w:r>
        <w:rPr>
          <w:b/>
          <w:bCs/>
        </w:rPr>
        <w:t xml:space="preserve">Expository Style:</w:t>
      </w:r>
      <w:r>
        <w:t xml:space="preserve"> </w:t>
      </w:r>
      <w:r>
        <w:t xml:space="preserve">The writing is clear and mathematically precise, but often dense. Paragraphs are on the long side; some could be split. Bulleted lists (e.g. in summaries) are effective and could be used more in technical proofs for structure. Some sections (especially Ch. 8–9) are argument-heavy; adding a brief example or intuition before diving into definitions might help readability.</w:t>
      </w:r>
    </w:p>
    <w:p>
      <w:pPr>
        <w:numPr>
          <w:ilvl w:val="0"/>
          <w:numId w:val="1007"/>
        </w:numPr>
      </w:pPr>
      <w:r>
        <w:rPr>
          <w:b/>
          <w:bCs/>
        </w:rPr>
        <w:t xml:space="preserve">Suggestions:</w:t>
      </w:r>
    </w:p>
    <w:p>
      <w:pPr>
        <w:pStyle w:val="Compact"/>
        <w:numPr>
          <w:ilvl w:val="0"/>
          <w:numId w:val="1007"/>
        </w:numPr>
      </w:pPr>
      <w:r>
        <w:rPr>
          <w:b/>
          <w:bCs/>
        </w:rPr>
        <w:t xml:space="preserve">Examples/Diagrams:</w:t>
      </w:r>
      <w:r>
        <w:t xml:space="preserve"> </w:t>
      </w:r>
      <w:r>
        <w:t xml:space="preserve">Include a few concrete examples early on. For instance, explicitly build a small generator $G$ (e.g. $M=DKDK\cdots$, $D=$ binary digits of $0.1011\cdots$, $K$ arbitrary) and show $X(G)$ and $\pi(G)$. Or illustrate a simple fiber (two generators that give $x=0.5$ with different $M$ patterns). Visual diagrams of the projection lattice or a collapsed fiber (like a tree diagram of all $G\in\mathcal{F}(x)$) would greatly aid intuition.</w:t>
      </w:r>
    </w:p>
    <w:p>
      <w:pPr>
        <w:pStyle w:val="Compact"/>
        <w:numPr>
          <w:ilvl w:val="0"/>
          <w:numId w:val="1007"/>
        </w:numPr>
      </w:pPr>
      <w:r>
        <w:rPr>
          <w:b/>
          <w:bCs/>
        </w:rPr>
        <w:t xml:space="preserve">Literature Context:</w:t>
      </w:r>
      <w:r>
        <w:t xml:space="preserve"> </w:t>
      </w:r>
      <w:r>
        <w:t xml:space="preserve">Cite related work. For example, mention classical results on computable reals, normal numbers, or Kolmogorov complexity of reals as motivation. Relate the diagonalization idea to Blum’s speed-up or other incompleteness phenomena. Even an historical note (“this approach is unlike any in standard textbooks”) would help readers place the work.</w:t>
      </w:r>
    </w:p>
    <w:p>
      <w:pPr>
        <w:pStyle w:val="Compact"/>
        <w:numPr>
          <w:ilvl w:val="0"/>
          <w:numId w:val="1007"/>
        </w:numPr>
      </w:pPr>
      <w:r>
        <w:rPr>
          <w:b/>
          <w:bCs/>
        </w:rPr>
        <w:t xml:space="preserve">Terminology:</w:t>
      </w:r>
      <w:r>
        <w:t xml:space="preserve"> </w:t>
      </w:r>
      <w:r>
        <w:t xml:space="preserve">Define terms like “hybrid identity” at first use (it is explained, but a quick glossary or notation section could help). Ensure that “structural projection” is always clearly distinguished from “extended invariant” or “secondary coordinate.”</w:t>
      </w:r>
    </w:p>
    <w:p>
      <w:pPr>
        <w:pStyle w:val="Compact"/>
        <w:numPr>
          <w:ilvl w:val="0"/>
          <w:numId w:val="1007"/>
        </w:numPr>
      </w:pPr>
      <w:r>
        <w:rPr>
          <w:b/>
          <w:bCs/>
        </w:rPr>
        <w:t xml:space="preserve">Minor:</w:t>
      </w:r>
      <w:r>
        <w:t xml:space="preserve"> </w:t>
      </w:r>
      <w:r>
        <w:t xml:space="preserve">There are some minor typos (e.g. inconsistent capitalization in headings) and a few missing references (the bibliography is empty in this draft). Theorems and definitions should be numbered consistently (some are, some are not).</w:t>
      </w:r>
    </w:p>
    <w:p>
      <w:pPr>
        <w:pStyle w:val="FirstParagraph"/>
      </w:pPr>
      <w:r>
        <w:t xml:space="preserve">Overall, the manuscript is</w:t>
      </w:r>
      <w:r>
        <w:t xml:space="preserve"> </w:t>
      </w:r>
      <w:r>
        <w:rPr>
          <w:b/>
          <w:bCs/>
        </w:rPr>
        <w:t xml:space="preserve">well-structured</w:t>
      </w:r>
      <w:r>
        <w:t xml:space="preserve">, but could be made more accessible with examples and references. The logical organization is sound, and appendices are appropriate.</w:t>
      </w:r>
    </w:p>
    <w:bookmarkEnd w:id="63"/>
    <w:bookmarkStart w:id="64" w:name="final-verdict"/>
    <w:p>
      <w:pPr>
        <w:pStyle w:val="Heading2"/>
      </w:pPr>
      <w:r>
        <w:t xml:space="preserve">Final Verdict</w:t>
      </w:r>
    </w:p>
    <w:p>
      <w:pPr>
        <w:pStyle w:val="FirstParagraph"/>
      </w:pPr>
      <w:r>
        <w:t xml:space="preserve">I recommend</w:t>
      </w:r>
      <w:r>
        <w:t xml:space="preserve"> </w:t>
      </w:r>
      <w:r>
        <w:rPr>
          <w:b/>
          <w:bCs/>
        </w:rPr>
        <w:t xml:space="preserve">Major Revisions</w:t>
      </w:r>
      <w:r>
        <w:t xml:space="preserve">. The work is</w:t>
      </w:r>
      <w:r>
        <w:t xml:space="preserve"> </w:t>
      </w:r>
      <w:r>
        <w:rPr>
          <w:i/>
          <w:iCs/>
        </w:rPr>
        <w:t xml:space="preserve">original, ambitious, and technically sophisticated</w:t>
      </w:r>
      <w:r>
        <w:t xml:space="preserve">, which is commendable. Its strengths include the clear definitions of the generative space and collapse map</w:t>
      </w:r>
      <w:hyperlink r:id="rId21">
        <w:r>
          <w:rPr>
            <w:rStyle w:val="Hyperlink"/>
          </w:rPr>
          <w:t xml:space="preserve">[1]</w:t>
        </w:r>
      </w:hyperlink>
      <w:r>
        <w:t xml:space="preserve">, the systematic development of projection theory</w:t>
      </w:r>
      <w:hyperlink r:id="rId48">
        <w:r>
          <w:rPr>
            <w:rStyle w:val="Hyperlink"/>
          </w:rPr>
          <w:t xml:space="preserve">[30]</w:t>
        </w:r>
      </w:hyperlink>
      <w:hyperlink r:id="rId40">
        <w:r>
          <w:rPr>
            <w:rStyle w:val="Hyperlink"/>
          </w:rPr>
          <w:t xml:space="preserve">[31]</w:t>
        </w:r>
      </w:hyperlink>
      <w:r>
        <w:t xml:space="preserve">, and the novel diagonalization result (Meta-Diagonalizer) proving a strong incompleteness theorem</w:t>
      </w:r>
      <w:hyperlink r:id="rId55">
        <w:r>
          <w:rPr>
            <w:rStyle w:val="Hyperlink"/>
          </w:rPr>
          <w:t xml:space="preserve">[43]</w:t>
        </w:r>
      </w:hyperlink>
      <w:r>
        <w:t xml:space="preserve">. These demonstrate the author’s technical command.</w:t>
      </w:r>
    </w:p>
    <w:p>
      <w:pPr>
        <w:pStyle w:val="BodyText"/>
      </w:pPr>
      <w:r>
        <w:t xml:space="preserve">However, there are</w:t>
      </w:r>
      <w:r>
        <w:t xml:space="preserve"> </w:t>
      </w:r>
      <w:r>
        <w:rPr>
          <w:b/>
          <w:bCs/>
        </w:rPr>
        <w:t xml:space="preserve">important flaws and omissions</w:t>
      </w:r>
      <w:r>
        <w:t xml:space="preserve"> </w:t>
      </w:r>
      <w:r>
        <w:t xml:space="preserve">to address before acceptance:</w:t>
      </w:r>
    </w:p>
    <w:p>
      <w:pPr>
        <w:pStyle w:val="Compact"/>
        <w:numPr>
          <w:ilvl w:val="0"/>
          <w:numId w:val="1008"/>
        </w:numPr>
      </w:pPr>
      <w:r>
        <w:t xml:space="preserve">The</w:t>
      </w:r>
      <w:r>
        <w:t xml:space="preserve"> </w:t>
      </w:r>
      <w:r>
        <w:rPr>
          <w:b/>
          <w:bCs/>
        </w:rPr>
        <w:t xml:space="preserve">continuity claims for $\eta$ and $\phi$</w:t>
      </w:r>
      <w:r>
        <w:t xml:space="preserve"> </w:t>
      </w:r>
      <w:r>
        <w:t xml:space="preserve">must be corrected. As it stands, Chapters 13–14 assert that entropy balance and fluctuation index are continuous structural projections</w:t>
      </w:r>
      <w:hyperlink r:id="rId38">
        <w:r>
          <w:rPr>
            <w:rStyle w:val="Hyperlink"/>
          </w:rPr>
          <w:t xml:space="preserve">[17]</w:t>
        </w:r>
      </w:hyperlink>
      <w:hyperlink r:id="rId39">
        <w:r>
          <w:rPr>
            <w:rStyle w:val="Hyperlink"/>
          </w:rPr>
          <w:t xml:space="preserve">[18]</w:t>
        </w:r>
      </w:hyperlink>
      <w:r>
        <w:t xml:space="preserve">, which is false. Either the definition of “structural projection” needs relaxing (e.g. allowing limits of projections) or the text must clarify that $\eta,\phi$ are</w:t>
      </w:r>
      <w:r>
        <w:t xml:space="preserve"> </w:t>
      </w:r>
      <w:r>
        <w:rPr>
          <w:i/>
          <w:iCs/>
        </w:rPr>
        <w:t xml:space="preserve">projective invariants</w:t>
      </w:r>
      <w:r>
        <w:t xml:space="preserve"> </w:t>
      </w:r>
      <w:r>
        <w:t xml:space="preserve">defined by liminf/limsup (not literally continuous). This is a significant issue and affects parts of the argumentation, so it should be explicitly fixed.</w:t>
      </w:r>
    </w:p>
    <w:p>
      <w:pPr>
        <w:pStyle w:val="Compact"/>
        <w:numPr>
          <w:ilvl w:val="0"/>
          <w:numId w:val="1008"/>
        </w:numPr>
      </w:pPr>
      <w:r>
        <w:rPr>
          <w:b/>
          <w:bCs/>
        </w:rPr>
        <w:t xml:space="preserve">Clarity and exposition</w:t>
      </w:r>
      <w:r>
        <w:t xml:space="preserve">: Add illustrative examples and possibly figures. Define notation/terms where first used, and improve the narrative flow in technical sections. Provide references or context to related mathematics so the reader can see the novelty in perspective.</w:t>
      </w:r>
    </w:p>
    <w:p>
      <w:pPr>
        <w:pStyle w:val="Compact"/>
        <w:numPr>
          <w:ilvl w:val="0"/>
          <w:numId w:val="1008"/>
        </w:numPr>
      </w:pPr>
      <w:r>
        <w:rPr>
          <w:b/>
          <w:bCs/>
        </w:rPr>
        <w:t xml:space="preserve">Minor edits</w:t>
      </w:r>
      <w:r>
        <w:t xml:space="preserve">: Fill in or remove placeholder references (the bibliography is blank), correct typos, and ensure all theorems/lemmas are clearly numbered.</w:t>
      </w:r>
    </w:p>
    <w:p>
      <w:pPr>
        <w:pStyle w:val="FirstParagraph"/>
      </w:pPr>
      <w:r>
        <w:t xml:space="preserve">In conclusion, the paper has</w:t>
      </w:r>
      <w:r>
        <w:t xml:space="preserve"> </w:t>
      </w:r>
      <w:r>
        <w:rPr>
          <w:b/>
          <w:bCs/>
        </w:rPr>
        <w:t xml:space="preserve">high potential impact</w:t>
      </w:r>
      <w:r>
        <w:t xml:space="preserve"> </w:t>
      </w:r>
      <w:r>
        <w:t xml:space="preserve">if these issues are addressed. Its novel viewpoint on real numbers is intriguing and may influence several fields. With revisions to correct the continuity errors and improve exposition, this could be a valuable contribution.</w:t>
      </w:r>
    </w:p>
    <w:bookmarkEnd w:id="64"/>
    <w:bookmarkEnd w:id="65"/>
    <w:bookmarkEnd w:id="66"/>
    <w:p>
      <w:r>
        <w:pict>
          <v:rect style="width:0;height:1.5pt" o:hralign="center" o:hrstd="t" o:hr="t"/>
        </w:pict>
      </w:r>
    </w:p>
    <w:bookmarkStart w:id="6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22">
        <w:r>
          <w:rPr>
            <w:rStyle w:val="Hyperlink"/>
          </w:rPr>
          <w:t xml:space="preserve">[20]</w:t>
        </w:r>
      </w:hyperlink>
      <w:r>
        <w:t xml:space="preserve"> </w:t>
      </w:r>
      <w:hyperlink r:id="rId42">
        <w:r>
          <w:rPr>
            <w:rStyle w:val="Hyperlink"/>
          </w:rPr>
          <w:t xml:space="preserve">[21]</w:t>
        </w:r>
      </w:hyperlink>
      <w:r>
        <w:t xml:space="preserve"> </w:t>
      </w:r>
      <w:hyperlink r:id="rId22">
        <w:r>
          <w:rPr>
            <w:rStyle w:val="Hyperlink"/>
          </w:rPr>
          <w:t xml:space="preserve">[22]</w:t>
        </w:r>
      </w:hyperlink>
      <w:r>
        <w:t xml:space="preserve"> </w:t>
      </w:r>
      <w:hyperlink r:id="rId28">
        <w:r>
          <w:rPr>
            <w:rStyle w:val="Hyperlink"/>
          </w:rPr>
          <w:t xml:space="preserve">[23]</w:t>
        </w:r>
      </w:hyperlink>
      <w:r>
        <w:t xml:space="preserve"> </w:t>
      </w:r>
      <w:hyperlink r:id="rId43">
        <w:r>
          <w:rPr>
            <w:rStyle w:val="Hyperlink"/>
          </w:rPr>
          <w:t xml:space="preserve">[24]</w:t>
        </w:r>
      </w:hyperlink>
      <w:r>
        <w:t xml:space="preserve"> </w:t>
      </w:r>
      <w:hyperlink r:id="rId44">
        <w:r>
          <w:rPr>
            <w:rStyle w:val="Hyperlink"/>
          </w:rPr>
          <w:t xml:space="preserve">[25]</w:t>
        </w:r>
      </w:hyperlink>
      <w:r>
        <w:t xml:space="preserve"> </w:t>
      </w:r>
      <w:hyperlink r:id="rId45">
        <w:r>
          <w:rPr>
            <w:rStyle w:val="Hyperlink"/>
          </w:rPr>
          <w:t xml:space="preserve">[26]</w:t>
        </w:r>
      </w:hyperlink>
      <w:r>
        <w:t xml:space="preserve"> </w:t>
      </w:r>
      <w:hyperlink r:id="rId46">
        <w:r>
          <w:rPr>
            <w:rStyle w:val="Hyperlink"/>
          </w:rPr>
          <w:t xml:space="preserve">[27]</w:t>
        </w:r>
      </w:hyperlink>
      <w:r>
        <w:t xml:space="preserve"> </w:t>
      </w:r>
      <w:hyperlink r:id="rId47">
        <w:r>
          <w:rPr>
            <w:rStyle w:val="Hyperlink"/>
          </w:rPr>
          <w:t xml:space="preserve">[28]</w:t>
        </w:r>
      </w:hyperlink>
      <w:r>
        <w:t xml:space="preserve"> </w:t>
      </w:r>
      <w:hyperlink r:id="rId22">
        <w:r>
          <w:rPr>
            <w:rStyle w:val="Hyperlink"/>
          </w:rPr>
          <w:t xml:space="preserve">[29]</w:t>
        </w:r>
      </w:hyperlink>
      <w:r>
        <w:t xml:space="preserve"> </w:t>
      </w:r>
      <w:hyperlink r:id="rId48">
        <w:r>
          <w:rPr>
            <w:rStyle w:val="Hyperlink"/>
          </w:rPr>
          <w:t xml:space="preserve">[30]</w:t>
        </w:r>
      </w:hyperlink>
      <w:r>
        <w:t xml:space="preserve"> </w:t>
      </w:r>
      <w:hyperlink r:id="rId40">
        <w:r>
          <w:rPr>
            <w:rStyle w:val="Hyperlink"/>
          </w:rPr>
          <w:t xml:space="preserve">[31]</w:t>
        </w:r>
      </w:hyperlink>
      <w:r>
        <w:t xml:space="preserve"> </w:t>
      </w:r>
      <w:hyperlink r:id="rId43">
        <w:r>
          <w:rPr>
            <w:rStyle w:val="Hyperlink"/>
          </w:rPr>
          <w:t xml:space="preserve">[32]</w:t>
        </w:r>
      </w:hyperlink>
      <w:r>
        <w:t xml:space="preserve"> </w:t>
      </w:r>
      <w:hyperlink r:id="rId43">
        <w:r>
          <w:rPr>
            <w:rStyle w:val="Hyperlink"/>
          </w:rPr>
          <w:t xml:space="preserve">[33]</w:t>
        </w:r>
      </w:hyperlink>
      <w:r>
        <w:t xml:space="preserve"> </w:t>
      </w:r>
      <w:hyperlink r:id="rId22">
        <w:r>
          <w:rPr>
            <w:rStyle w:val="Hyperlink"/>
          </w:rPr>
          <w:t xml:space="preserve">[34]</w:t>
        </w:r>
      </w:hyperlink>
      <w:r>
        <w:t xml:space="preserve"> </w:t>
      </w:r>
      <w:hyperlink r:id="rId49">
        <w:r>
          <w:rPr>
            <w:rStyle w:val="Hyperlink"/>
          </w:rPr>
          <w:t xml:space="preserve">[35]</w:t>
        </w:r>
      </w:hyperlink>
      <w:r>
        <w:t xml:space="preserve"> </w:t>
      </w:r>
      <w:hyperlink r:id="rId50">
        <w:r>
          <w:rPr>
            <w:rStyle w:val="Hyperlink"/>
          </w:rPr>
          <w:t xml:space="preserve">[36]</w:t>
        </w:r>
      </w:hyperlink>
      <w:r>
        <w:t xml:space="preserve"> </w:t>
      </w:r>
      <w:hyperlink r:id="rId51">
        <w:r>
          <w:rPr>
            <w:rStyle w:val="Hyperlink"/>
          </w:rPr>
          <w:t xml:space="preserve">[37]</w:t>
        </w:r>
      </w:hyperlink>
      <w:r>
        <w:t xml:space="preserve"> </w:t>
      </w:r>
      <w:hyperlink r:id="rId43">
        <w:r>
          <w:rPr>
            <w:rStyle w:val="Hyperlink"/>
          </w:rPr>
          <w:t xml:space="preserve">[38]</w:t>
        </w:r>
      </w:hyperlink>
      <w:r>
        <w:t xml:space="preserve"> </w:t>
      </w:r>
      <w:hyperlink r:id="rId52">
        <w:r>
          <w:rPr>
            <w:rStyle w:val="Hyperlink"/>
          </w:rPr>
          <w:t xml:space="preserve">[39]</w:t>
        </w:r>
      </w:hyperlink>
      <w:r>
        <w:t xml:space="preserve"> </w:t>
      </w:r>
      <w:hyperlink r:id="rId22">
        <w:r>
          <w:rPr>
            <w:rStyle w:val="Hyperlink"/>
          </w:rPr>
          <w:t xml:space="preserve">[40]</w:t>
        </w:r>
      </w:hyperlink>
      <w:r>
        <w:t xml:space="preserve"> </w:t>
      </w:r>
      <w:hyperlink r:id="rId53">
        <w:r>
          <w:rPr>
            <w:rStyle w:val="Hyperlink"/>
          </w:rPr>
          <w:t xml:space="preserve">[41]</w:t>
        </w:r>
      </w:hyperlink>
      <w:r>
        <w:t xml:space="preserve"> </w:t>
      </w:r>
      <w:hyperlink r:id="rId54">
        <w:r>
          <w:rPr>
            <w:rStyle w:val="Hyperlink"/>
          </w:rPr>
          <w:t xml:space="preserve">[42]</w:t>
        </w:r>
      </w:hyperlink>
      <w:r>
        <w:t xml:space="preserve"> </w:t>
      </w:r>
      <w:hyperlink r:id="rId55">
        <w:r>
          <w:rPr>
            <w:rStyle w:val="Hyperlink"/>
          </w:rPr>
          <w:t xml:space="preserve">[43]</w:t>
        </w:r>
      </w:hyperlink>
      <w:r>
        <w:t xml:space="preserve"> </w:t>
      </w:r>
      <w:hyperlink r:id="rId56">
        <w:r>
          <w:rPr>
            <w:rStyle w:val="Hyperlink"/>
          </w:rPr>
          <w:t xml:space="preserve">[44]</w:t>
        </w:r>
      </w:hyperlink>
      <w:r>
        <w:t xml:space="preserve"> </w:t>
      </w:r>
      <w:hyperlink r:id="rId57">
        <w:r>
          <w:rPr>
            <w:rStyle w:val="Hyperlink"/>
          </w:rPr>
          <w:t xml:space="preserve">[45]</w:t>
        </w:r>
      </w:hyperlink>
      <w:r>
        <w:t xml:space="preserve"> </w:t>
      </w:r>
      <w:hyperlink r:id="rId58">
        <w:r>
          <w:rPr>
            <w:rStyle w:val="Hyperlink"/>
          </w:rPr>
          <w:t xml:space="preserve">[46]</w:t>
        </w:r>
      </w:hyperlink>
      <w:r>
        <w:t xml:space="preserve"> </w:t>
      </w:r>
      <w:hyperlink r:id="rId59">
        <w:r>
          <w:rPr>
            <w:rStyle w:val="Hyperlink"/>
          </w:rPr>
          <w:t xml:space="preserve">[47]</w:t>
        </w:r>
      </w:hyperlink>
      <w:r>
        <w:t xml:space="preserve"> </w:t>
      </w:r>
      <w:hyperlink r:id="rId60">
        <w:r>
          <w:rPr>
            <w:rStyle w:val="Hyperlink"/>
          </w:rPr>
          <w:t xml:space="preserve">[48]</w:t>
        </w:r>
      </w:hyperlink>
      <w:r>
        <w:t xml:space="preserve"> </w:t>
      </w:r>
      <w:hyperlink r:id="rId62">
        <w:r>
          <w:rPr>
            <w:rStyle w:val="Hyperlink"/>
          </w:rPr>
          <w:t xml:space="preserve">[49]</w:t>
        </w:r>
      </w:hyperlink>
      <w:r>
        <w:t xml:space="preserve"> </w:t>
      </w:r>
      <w:hyperlink r:id="rId29">
        <w:r>
          <w:rPr>
            <w:rStyle w:val="Hyperlink"/>
          </w:rPr>
          <w:t xml:space="preserve">[50]</w:t>
        </w:r>
      </w:hyperlink>
      <w:r>
        <w:t xml:space="preserve"> </w:t>
      </w:r>
      <w:r>
        <w:t xml:space="preserve">full_manuscript.tex</w:t>
      </w:r>
    </w:p>
    <w:p>
      <w:pPr>
        <w:pStyle w:val="BodyText"/>
      </w:pPr>
      <w:hyperlink r:id="rId67">
        <w:r>
          <w:rPr>
            <w:rStyle w:val="Hyperlink"/>
          </w:rPr>
          <w:t xml:space="preserve">file://file-C25dtsrSECzHfmseMnt8ty</w:t>
        </w:r>
      </w:hyperlink>
    </w:p>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7" Target="file://file-C25dtsrSECzHfmseMnt8ty" TargetMode="External" /><Relationship Type="http://schemas.openxmlformats.org/officeDocument/2006/relationships/hyperlink" Id="rId56" Target="file://file-C25dtsrSECzHfmseMnt8ty#:~:text=%5Cbegin%7Benumerate%7D%20%5Citem%20%24G%5E%5C,theorem" TargetMode="External" /><Relationship Type="http://schemas.openxmlformats.org/officeDocument/2006/relationships/hyperlink" Id="rId52" Target="file://file-C25dtsrSECzHfmseMnt8ty#:~:text=%5Cbegin%7Blemma%7D%5BDigit,lemma" TargetMode="External" /><Relationship Type="http://schemas.openxmlformats.org/officeDocument/2006/relationships/hyperlink" Id="rId53" Target="file://file-C25dtsrSECzHfmseMnt8ty#:~:text=%5Cbegin%7Blemma%7D%5BStability%20of%20Tail%20Sewing%5D%20%5Clabel%7Blem%3Astability,%5Cvarepsilon.%20%5C%5D%20%5Cend%7Blemma" TargetMode="External" /><Relationship Type="http://schemas.openxmlformats.org/officeDocument/2006/relationships/hyperlink" Id="rId49" Target="file://file-C25dtsrSECzHfmseMnt8ty#:~:text=%5Cbegin%7Bproposition%7D%5BPrefix%20Stabilization%5D%20%5Clabel%7Bprop%3Aprefix,upharpoonright%7DB_%5CPhi%28%5Cvarepsilon" TargetMode="External" /><Relationship Type="http://schemas.openxmlformats.org/officeDocument/2006/relationships/hyperlink" Id="rId38" Target="file://file-C25dtsrSECzHfmseMnt8ty#:~:text=%5Cbegin%7Bproposition%7D%5BPrefix,proposition" TargetMode="External" /><Relationship Type="http://schemas.openxmlformats.org/officeDocument/2006/relationships/hyperlink" Id="rId59" Target="file://file-C25dtsrSECzHfmseMnt8ty#:~:text=%5Cbegin%7Bproposition%7D%5BProjection,n%20%3A%20M%28k%29%3DD%5C%7D%5Cbigr%7C.%20%5C%5D%20%5Cend%7Bproposition" TargetMode="External" /><Relationship Type="http://schemas.openxmlformats.org/officeDocument/2006/relationships/hyperlink" Id="rId27" Target="file://file-C25dtsrSECzHfmseMnt8ty#:~:text=%5Cbegin%7Btheorem%7D%5BEffective%20Surjectivity%5D%20%5Clabel%7Bthm%3Aeffective,%3D%20%5Cmathbb%7BR%7D_c.%20%5C%5D%20%5Cend%7Btheorem" TargetMode="External" /><Relationship Type="http://schemas.openxmlformats.org/officeDocument/2006/relationships/hyperlink" Id="rId55" Target="file://file-C25dtsrSECzHfmseMnt8ty#:~:text=%5Cbegin%7Btheorem%7D%5BMeta,constructed%20above%20satisfies" TargetMode="External" /><Relationship Type="http://schemas.openxmlformats.org/officeDocument/2006/relationships/hyperlink" Id="rId25" Target="file://file-C25dtsrSECzHfmseMnt8ty#:~:text=%5Cbegin%7Btheorem%7D%5BSurjectivity%5D%20%5Clabel%7Bthm%3Acollapse,%3D%20%5B0%2C1%5D.%20%5C%5D%20%5Cend%7Btheorem" TargetMode="External" /><Relationship Type="http://schemas.openxmlformats.org/officeDocument/2006/relationships/hyperlink" Id="rId54" Target="file://file-C25dtsrSECzHfmseMnt8ty#:~:text=%5Cbegin,%5Cend%7Blemma" TargetMode="External" /><Relationship Type="http://schemas.openxmlformats.org/officeDocument/2006/relationships/hyperlink" Id="rId45" Target="file://file-C25dtsrSECzHfmseMnt8ty#:~:text=%5Cbegin,0_1%24%20class" TargetMode="External" /><Relationship Type="http://schemas.openxmlformats.org/officeDocument/2006/relationships/hyperlink" Id="rId29" Target="file://file-C25dtsrSECzHfmseMnt8ty#:~:text=%5Cbegin,1%7D%28%5C%7Bx%5C%7D%29%24%20is%20closed.%20%5Cend%7Bproof" TargetMode="External" /><Relationship Type="http://schemas.openxmlformats.org/officeDocument/2006/relationships/hyperlink" Id="rId50" Target="file://file-C25dtsrSECzHfmseMnt8ty#:~:text=%5Cbegin,B_%5CPhi%28%5Cvarepsilon%29%2C%20B_%5CPsi%28%5Cvarepsilon%29%20%5C%2C%5C%7D." TargetMode="External" /><Relationship Type="http://schemas.openxmlformats.org/officeDocument/2006/relationships/hyperlink" Id="rId33" Target="file://file-C25dtsrSECzHfmseMnt8ty#:~:text=%5Cbegin,Psi%24%20in" TargetMode="External" /><Relationship Type="http://schemas.openxmlformats.org/officeDocument/2006/relationships/hyperlink" Id="rId48" Target="file://file-C25dtsrSECzHfmseMnt8ty#:~:text=%5Cbegin,X%7D%2C%5C%3B%20%5CPsi%28G%29%3D%5CPsi%28H%29%20%5Cimplies%20%5CPhi%28G%29%3D%5CPhi%28H%29." TargetMode="External" /><Relationship Type="http://schemas.openxmlformats.org/officeDocument/2006/relationships/hyperlink" Id="rId22" Target="file://file-C25dtsrSECzHfmseMnt8ty#:~:text=%5Cbegin,definition" TargetMode="External" /><Relationship Type="http://schemas.openxmlformats.org/officeDocument/2006/relationships/hyperlink" Id="rId39" Target="file://file-C25dtsrSECzHfmseMnt8ty#:~:text=%5Cbegin,determined%2C%20continuous%20structural%20projection.%20%5Cend%7Bproposition" TargetMode="External" /><Relationship Type="http://schemas.openxmlformats.org/officeDocument/2006/relationships/hyperlink" Id="rId23" Target="file://file-C25dtsrSECzHfmseMnt8ty#:~:text=%5Cbegin,enumerate" TargetMode="External" /><Relationship Type="http://schemas.openxmlformats.org/officeDocument/2006/relationships/hyperlink" Id="rId42" Target="file://file-C25dtsrSECzHfmseMnt8ty#:~:text=%5Cbegin,if%20%7D%20M%28n%29%20%3D%20D%2C%5C%5C%5B4pt" TargetMode="External" /><Relationship Type="http://schemas.openxmlformats.org/officeDocument/2006/relationships/hyperlink" Id="rId44" Target="file://file-C25dtsrSECzHfmseMnt8ty#:~:text=%5Cbegin,itemize" TargetMode="External" /><Relationship Type="http://schemas.openxmlformats.org/officeDocument/2006/relationships/hyperlink" Id="rId21" Target="file://file-C25dtsrSECzHfmseMnt8ty#:~:text=%5Cbegin,j%2B1%7D%7D.%20%5C%5D%20%5Cend%7Bdefinition" TargetMode="External" /><Relationship Type="http://schemas.openxmlformats.org/officeDocument/2006/relationships/hyperlink" Id="rId36" Target="file://file-C25dtsrSECzHfmseMnt8ty#:~:text=%5Cbegin,lemma" TargetMode="External" /><Relationship Type="http://schemas.openxmlformats.org/officeDocument/2006/relationships/hyperlink" Id="rId46" Target="file://file-C25dtsrSECzHfmseMnt8ty#:~:text=%5Cbegin,n%20%3A%20M%28k%29%3DD%5C%2C%5C%7D%5Cbigr%7C." TargetMode="External" /><Relationship Type="http://schemas.openxmlformats.org/officeDocument/2006/relationships/hyperlink" Id="rId57" Target="file://file-C25dtsrSECzHfmseMnt8ty#:~:text=%5Cbegin,n%7D." TargetMode="External" /><Relationship Type="http://schemas.openxmlformats.org/officeDocument/2006/relationships/hyperlink" Id="rId40" Target="file://file-C25dtsrSECzHfmseMnt8ty#:~:text=%5Cbegin,proof" TargetMode="External" /><Relationship Type="http://schemas.openxmlformats.org/officeDocument/2006/relationships/hyperlink" Id="rId43" Target="file://file-C25dtsrSECzHfmseMnt8ty#:~:text=%5Cbegin,proposition" TargetMode="External" /><Relationship Type="http://schemas.openxmlformats.org/officeDocument/2006/relationships/hyperlink" Id="rId51" Target="file://file-C25dtsrSECzHfmseMnt8ty#:~:text=%5Cbegin,upharpoonright%7DB_%5CPhi%28%5Cvarepsilon" TargetMode="External" /><Relationship Type="http://schemas.openxmlformats.org/officeDocument/2006/relationships/hyperlink" Id="rId58" Target="file://file-C25dtsrSECzHfmseMnt8ty#:~:text=Entropy%20balance%20is%20determined%20by,determination%20conditions%20required%20of%20a" TargetMode="External" /><Relationship Type="http://schemas.openxmlformats.org/officeDocument/2006/relationships/hyperlink" Id="rId37" Target="file://file-C25dtsrSECzHfmseMnt8ty#:~:text=From%20Chapter,proof" TargetMode="External" /><Relationship Type="http://schemas.openxmlformats.org/officeDocument/2006/relationships/hyperlink" Id="rId31" Target="file://file-C25dtsrSECzHfmseMnt8ty#:~:text=In%20this%20regime%20the%20meta,a%20precise%20classical%20real%20number" TargetMode="External" /><Relationship Type="http://schemas.openxmlformats.org/officeDocument/2006/relationships/hyperlink" Id="rId32" Target="file://file-C25dtsrSECzHfmseMnt8ty#:~:text=Structural%20projections%20differ%20in%20what,a%20natural%20notion%20of%20refinement" TargetMode="External" /><Relationship Type="http://schemas.openxmlformats.org/officeDocument/2006/relationships/hyperlink" Id="rId24" Target="file://file-C25dtsrSECzHfmseMnt8ty#:~:text=Taking%20the%20quotient%20of%20%24%5Cmathcal%7BX%7D%5E,homeomorphic%20to%20the%20unit%20interval" TargetMode="External" /><Relationship Type="http://schemas.openxmlformats.org/officeDocument/2006/relationships/hyperlink" Id="rId62" Target="file://file-C25dtsrSECzHfmseMnt8ty#:~:text=The%20canonical%20output%20map%20%24X,proposition" TargetMode="External" /><Relationship Type="http://schemas.openxmlformats.org/officeDocument/2006/relationships/hyperlink" Id="rId28" Target="file://file-C25dtsrSECzHfmseMnt8ty#:~:text=The%20collapse%20map%20%24,proposition" TargetMode="External" /><Relationship Type="http://schemas.openxmlformats.org/officeDocument/2006/relationships/hyperlink" Id="rId60" Target="file://file-C25dtsrSECzHfmseMnt8ty#:~:text=The%20fluctuation%20index%20is%20the,proposition" TargetMode="External" /><Relationship Type="http://schemas.openxmlformats.org/officeDocument/2006/relationships/hyperlink" Id="rId47" Target="file://file-C25dtsrSECzHfmseMnt8ty#:~:text=Their%20canonical%20outputs%20draw%20substantially,by%20an%20effective%20hybrid%20identity" TargetMode="External" /><Relationship Type="http://schemas.openxmlformats.org/officeDocument/2006/relationships/hyperlink" Id="rId34" Target="file://file-C25dtsrSECzHfmseMnt8ty#:~:text=We%20construct%20%24G%5E%5C,stage%20identities" TargetMode="External" /><Relationship Type="http://schemas.openxmlformats.org/officeDocument/2006/relationships/hyperlink" Id="rId35" Target="file://file-C25dtsrSECzHfmseMnt8ty#:~:text=match%20at%20L1177%20The%20resulting,almost%20entirely%20of%20meta%20symbols" TargetMode="External" /><Relationship Type="http://schemas.openxmlformats.org/officeDocument/2006/relationships/hyperlink" Id="rId30" Target="file://file-C25dtsrSECzHfmseMnt8ty#:~:text=match%20at%20L942%20with%20asymptotic,can%20be%20embedded%20in%20extremely" TargetMode="External" /></Relationships>
</file>

<file path=word/_rels/footnotes.xml.rels><?xml version="1.0" encoding="UTF-8"?><Relationships xmlns="http://schemas.openxmlformats.org/package/2006/relationships"><Relationship Type="http://schemas.openxmlformats.org/officeDocument/2006/relationships/hyperlink" Id="rId67" Target="file://file-C25dtsrSECzHfmseMnt8ty" TargetMode="External" /><Relationship Type="http://schemas.openxmlformats.org/officeDocument/2006/relationships/hyperlink" Id="rId56" Target="file://file-C25dtsrSECzHfmseMnt8ty#:~:text=%5Cbegin%7Benumerate%7D%20%5Citem%20%24G%5E%5C,theorem" TargetMode="External" /><Relationship Type="http://schemas.openxmlformats.org/officeDocument/2006/relationships/hyperlink" Id="rId52" Target="file://file-C25dtsrSECzHfmseMnt8ty#:~:text=%5Cbegin%7Blemma%7D%5BDigit,lemma" TargetMode="External" /><Relationship Type="http://schemas.openxmlformats.org/officeDocument/2006/relationships/hyperlink" Id="rId53" Target="file://file-C25dtsrSECzHfmseMnt8ty#:~:text=%5Cbegin%7Blemma%7D%5BStability%20of%20Tail%20Sewing%5D%20%5Clabel%7Blem%3Astability,%5Cvarepsilon.%20%5C%5D%20%5Cend%7Blemma" TargetMode="External" /><Relationship Type="http://schemas.openxmlformats.org/officeDocument/2006/relationships/hyperlink" Id="rId49" Target="file://file-C25dtsrSECzHfmseMnt8ty#:~:text=%5Cbegin%7Bproposition%7D%5BPrefix%20Stabilization%5D%20%5Clabel%7Bprop%3Aprefix,upharpoonright%7DB_%5CPhi%28%5Cvarepsilon" TargetMode="External" /><Relationship Type="http://schemas.openxmlformats.org/officeDocument/2006/relationships/hyperlink" Id="rId38" Target="file://file-C25dtsrSECzHfmseMnt8ty#:~:text=%5Cbegin%7Bproposition%7D%5BPrefix,proposition" TargetMode="External" /><Relationship Type="http://schemas.openxmlformats.org/officeDocument/2006/relationships/hyperlink" Id="rId59" Target="file://file-C25dtsrSECzHfmseMnt8ty#:~:text=%5Cbegin%7Bproposition%7D%5BProjection,n%20%3A%20M%28k%29%3DD%5C%7D%5Cbigr%7C.%20%5C%5D%20%5Cend%7Bproposition" TargetMode="External" /><Relationship Type="http://schemas.openxmlformats.org/officeDocument/2006/relationships/hyperlink" Id="rId27" Target="file://file-C25dtsrSECzHfmseMnt8ty#:~:text=%5Cbegin%7Btheorem%7D%5BEffective%20Surjectivity%5D%20%5Clabel%7Bthm%3Aeffective,%3D%20%5Cmathbb%7BR%7D_c.%20%5C%5D%20%5Cend%7Btheorem" TargetMode="External" /><Relationship Type="http://schemas.openxmlformats.org/officeDocument/2006/relationships/hyperlink" Id="rId55" Target="file://file-C25dtsrSECzHfmseMnt8ty#:~:text=%5Cbegin%7Btheorem%7D%5BMeta,constructed%20above%20satisfies" TargetMode="External" /><Relationship Type="http://schemas.openxmlformats.org/officeDocument/2006/relationships/hyperlink" Id="rId25" Target="file://file-C25dtsrSECzHfmseMnt8ty#:~:text=%5Cbegin%7Btheorem%7D%5BSurjectivity%5D%20%5Clabel%7Bthm%3Acollapse,%3D%20%5B0%2C1%5D.%20%5C%5D%20%5Cend%7Btheorem" TargetMode="External" /><Relationship Type="http://schemas.openxmlformats.org/officeDocument/2006/relationships/hyperlink" Id="rId54" Target="file://file-C25dtsrSECzHfmseMnt8ty#:~:text=%5Cbegin,%5Cend%7Blemma" TargetMode="External" /><Relationship Type="http://schemas.openxmlformats.org/officeDocument/2006/relationships/hyperlink" Id="rId45" Target="file://file-C25dtsrSECzHfmseMnt8ty#:~:text=%5Cbegin,0_1%24%20class" TargetMode="External" /><Relationship Type="http://schemas.openxmlformats.org/officeDocument/2006/relationships/hyperlink" Id="rId29" Target="file://file-C25dtsrSECzHfmseMnt8ty#:~:text=%5Cbegin,1%7D%28%5C%7Bx%5C%7D%29%24%20is%20closed.%20%5Cend%7Bproof" TargetMode="External" /><Relationship Type="http://schemas.openxmlformats.org/officeDocument/2006/relationships/hyperlink" Id="rId50" Target="file://file-C25dtsrSECzHfmseMnt8ty#:~:text=%5Cbegin,B_%5CPhi%28%5Cvarepsilon%29%2C%20B_%5CPsi%28%5Cvarepsilon%29%20%5C%2C%5C%7D." TargetMode="External" /><Relationship Type="http://schemas.openxmlformats.org/officeDocument/2006/relationships/hyperlink" Id="rId33" Target="file://file-C25dtsrSECzHfmseMnt8ty#:~:text=%5Cbegin,Psi%24%20in" TargetMode="External" /><Relationship Type="http://schemas.openxmlformats.org/officeDocument/2006/relationships/hyperlink" Id="rId48" Target="file://file-C25dtsrSECzHfmseMnt8ty#:~:text=%5Cbegin,X%7D%2C%5C%3B%20%5CPsi%28G%29%3D%5CPsi%28H%29%20%5Cimplies%20%5CPhi%28G%29%3D%5CPhi%28H%29." TargetMode="External" /><Relationship Type="http://schemas.openxmlformats.org/officeDocument/2006/relationships/hyperlink" Id="rId22" Target="file://file-C25dtsrSECzHfmseMnt8ty#:~:text=%5Cbegin,definition" TargetMode="External" /><Relationship Type="http://schemas.openxmlformats.org/officeDocument/2006/relationships/hyperlink" Id="rId39" Target="file://file-C25dtsrSECzHfmseMnt8ty#:~:text=%5Cbegin,determined%2C%20continuous%20structural%20projection.%20%5Cend%7Bproposition" TargetMode="External" /><Relationship Type="http://schemas.openxmlformats.org/officeDocument/2006/relationships/hyperlink" Id="rId23" Target="file://file-C25dtsrSECzHfmseMnt8ty#:~:text=%5Cbegin,enumerate" TargetMode="External" /><Relationship Type="http://schemas.openxmlformats.org/officeDocument/2006/relationships/hyperlink" Id="rId42" Target="file://file-C25dtsrSECzHfmseMnt8ty#:~:text=%5Cbegin,if%20%7D%20M%28n%29%20%3D%20D%2C%5C%5C%5B4pt" TargetMode="External" /><Relationship Type="http://schemas.openxmlformats.org/officeDocument/2006/relationships/hyperlink" Id="rId44" Target="file://file-C25dtsrSECzHfmseMnt8ty#:~:text=%5Cbegin,itemize" TargetMode="External" /><Relationship Type="http://schemas.openxmlformats.org/officeDocument/2006/relationships/hyperlink" Id="rId21" Target="file://file-C25dtsrSECzHfmseMnt8ty#:~:text=%5Cbegin,j%2B1%7D%7D.%20%5C%5D%20%5Cend%7Bdefinition" TargetMode="External" /><Relationship Type="http://schemas.openxmlformats.org/officeDocument/2006/relationships/hyperlink" Id="rId36" Target="file://file-C25dtsrSECzHfmseMnt8ty#:~:text=%5Cbegin,lemma" TargetMode="External" /><Relationship Type="http://schemas.openxmlformats.org/officeDocument/2006/relationships/hyperlink" Id="rId46" Target="file://file-C25dtsrSECzHfmseMnt8ty#:~:text=%5Cbegin,n%20%3A%20M%28k%29%3DD%5C%2C%5C%7D%5Cbigr%7C." TargetMode="External" /><Relationship Type="http://schemas.openxmlformats.org/officeDocument/2006/relationships/hyperlink" Id="rId57" Target="file://file-C25dtsrSECzHfmseMnt8ty#:~:text=%5Cbegin,n%7D." TargetMode="External" /><Relationship Type="http://schemas.openxmlformats.org/officeDocument/2006/relationships/hyperlink" Id="rId40" Target="file://file-C25dtsrSECzHfmseMnt8ty#:~:text=%5Cbegin,proof" TargetMode="External" /><Relationship Type="http://schemas.openxmlformats.org/officeDocument/2006/relationships/hyperlink" Id="rId43" Target="file://file-C25dtsrSECzHfmseMnt8ty#:~:text=%5Cbegin,proposition" TargetMode="External" /><Relationship Type="http://schemas.openxmlformats.org/officeDocument/2006/relationships/hyperlink" Id="rId51" Target="file://file-C25dtsrSECzHfmseMnt8ty#:~:text=%5Cbegin,upharpoonright%7DB_%5CPhi%28%5Cvarepsilon" TargetMode="External" /><Relationship Type="http://schemas.openxmlformats.org/officeDocument/2006/relationships/hyperlink" Id="rId58" Target="file://file-C25dtsrSECzHfmseMnt8ty#:~:text=Entropy%20balance%20is%20determined%20by,determination%20conditions%20required%20of%20a" TargetMode="External" /><Relationship Type="http://schemas.openxmlformats.org/officeDocument/2006/relationships/hyperlink" Id="rId37" Target="file://file-C25dtsrSECzHfmseMnt8ty#:~:text=From%20Chapter,proof" TargetMode="External" /><Relationship Type="http://schemas.openxmlformats.org/officeDocument/2006/relationships/hyperlink" Id="rId31" Target="file://file-C25dtsrSECzHfmseMnt8ty#:~:text=In%20this%20regime%20the%20meta,a%20precise%20classical%20real%20number" TargetMode="External" /><Relationship Type="http://schemas.openxmlformats.org/officeDocument/2006/relationships/hyperlink" Id="rId32" Target="file://file-C25dtsrSECzHfmseMnt8ty#:~:text=Structural%20projections%20differ%20in%20what,a%20natural%20notion%20of%20refinement" TargetMode="External" /><Relationship Type="http://schemas.openxmlformats.org/officeDocument/2006/relationships/hyperlink" Id="rId24" Target="file://file-C25dtsrSECzHfmseMnt8ty#:~:text=Taking%20the%20quotient%20of%20%24%5Cmathcal%7BX%7D%5E,homeomorphic%20to%20the%20unit%20interval" TargetMode="External" /><Relationship Type="http://schemas.openxmlformats.org/officeDocument/2006/relationships/hyperlink" Id="rId62" Target="file://file-C25dtsrSECzHfmseMnt8ty#:~:text=The%20canonical%20output%20map%20%24X,proposition" TargetMode="External" /><Relationship Type="http://schemas.openxmlformats.org/officeDocument/2006/relationships/hyperlink" Id="rId28" Target="file://file-C25dtsrSECzHfmseMnt8ty#:~:text=The%20collapse%20map%20%24,proposition" TargetMode="External" /><Relationship Type="http://schemas.openxmlformats.org/officeDocument/2006/relationships/hyperlink" Id="rId60" Target="file://file-C25dtsrSECzHfmseMnt8ty#:~:text=The%20fluctuation%20index%20is%20the,proposition" TargetMode="External" /><Relationship Type="http://schemas.openxmlformats.org/officeDocument/2006/relationships/hyperlink" Id="rId47" Target="file://file-C25dtsrSECzHfmseMnt8ty#:~:text=Their%20canonical%20outputs%20draw%20substantially,by%20an%20effective%20hybrid%20identity" TargetMode="External" /><Relationship Type="http://schemas.openxmlformats.org/officeDocument/2006/relationships/hyperlink" Id="rId34" Target="file://file-C25dtsrSECzHfmseMnt8ty#:~:text=We%20construct%20%24G%5E%5C,stage%20identities" TargetMode="External" /><Relationship Type="http://schemas.openxmlformats.org/officeDocument/2006/relationships/hyperlink" Id="rId35" Target="file://file-C25dtsrSECzHfmseMnt8ty#:~:text=match%20at%20L1177%20The%20resulting,almost%20entirely%20of%20meta%20symbols" TargetMode="External" /><Relationship Type="http://schemas.openxmlformats.org/officeDocument/2006/relationships/hyperlink" Id="rId30" Target="file://file-C25dtsrSECzHfmseMnt8ty#:~:text=match%20at%20L942%20with%20asymptotic,can%20be%20embedded%20in%20extreme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2025-11-28T20:00:59Z</dcterms:created>
  <dcterms:modified xsi:type="dcterms:W3CDTF">2025-11-28T20:00:59Z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