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 SUITE</w:t>
        <w:br/>
        <w:t>IMPLEMENTATION ENTRY GATE</w:t>
      </w:r>
    </w:p>
    <w:p>
      <w:pPr>
        <w:jc w:val="center"/>
      </w:pPr>
      <w:r>
        <w:rPr>
          <w:b/>
          <w:sz w:val="30"/>
        </w:rPr>
        <w:t>v1.0 — FOR HUMAN DECISION</w:t>
      </w:r>
    </w:p>
    <w:p>
      <w:pPr>
        <w:jc w:val="center"/>
      </w:pPr>
      <w:r>
        <w:t>Human Review Consolidation • Cascading Blocker Reconciliation • NCIE-016/017/018 Alignment</w:t>
      </w:r>
    </w:p>
    <w:p>
      <w:pPr>
        <w:pStyle w:val="Heading1"/>
      </w:pPr>
      <w:r>
        <w:t>1. Gate Purpose and Status</w:t>
      </w:r>
    </w:p>
    <w:p>
      <w:r>
        <w:t>This gate consolidates the open-decision architecture across NCIE-001–018, separates blockers that prevent controlled implementation entry from blockers that mature later in verification, deployment and institutional handover, and reconciles NCIE-016 verification with NCIE-017 work packages and NCIE-018 readiness. It is a decision instrument, not an implementation authorization.</w:t>
      </w:r>
    </w:p>
    <w:p>
      <w:r>
        <w:t>CURRENT GATE DISPOSITION: NOT CLEARED — HUMAN DECISIONS / DISCOVERY REMAIN REQUIRED BEFORE UNCONDITIONAL IMPLEMENTATION ENTRY.</w:t>
      </w:r>
    </w:p>
    <w:p>
      <w:pPr>
        <w:pStyle w:val="Heading1"/>
      </w:pPr>
      <w:r>
        <w:t>2. Source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Range</w:t>
            </w:r>
          </w:p>
        </w:tc>
        <w:tc>
          <w:tcPr>
            <w:tcW w:type="dxa" w:w="2592"/>
          </w:tcPr>
          <w:p>
            <w:r>
              <w:t>Controlled source</w:t>
            </w:r>
          </w:p>
        </w:tc>
        <w:tc>
          <w:tcPr>
            <w:tcW w:type="dxa" w:w="2592"/>
          </w:tcPr>
          <w:p>
            <w:r>
              <w:t>Decision-register form</w:t>
            </w:r>
          </w:p>
        </w:tc>
        <w:tc>
          <w:tcPr>
            <w:tcW w:type="dxa" w:w="2592"/>
          </w:tcPr>
          <w:p>
            <w:r>
              <w:t>Use in this gate</w:t>
            </w:r>
          </w:p>
        </w:tc>
      </w:tr>
      <w:tr>
        <w:tc>
          <w:tcPr>
            <w:tcW w:type="dxa" w:w="2592"/>
          </w:tcPr>
          <w:p>
            <w:r>
              <w:t>NCIE-001–002</w:t>
            </w:r>
          </w:p>
        </w:tc>
        <w:tc>
          <w:tcPr>
            <w:tcW w:type="dxa" w:w="2592"/>
          </w:tcPr>
          <w:p>
            <w:r>
              <w:t>Master PRD; System Architecture &amp; Technical Design</w:t>
            </w:r>
          </w:p>
        </w:tc>
        <w:tc>
          <w:tcPr>
            <w:tcW w:type="dxa" w:w="2592"/>
          </w:tcPr>
          <w:p>
            <w:r>
              <w:t>Embedded Human Review / architectural decision points</w:t>
            </w:r>
          </w:p>
        </w:tc>
        <w:tc>
          <w:tcPr>
            <w:tcW w:type="dxa" w:w="2592"/>
          </w:tcPr>
          <w:p>
            <w:r>
              <w:t>Requirements/architecture baseline and unresolved institutional decisions.</w:t>
            </w:r>
          </w:p>
        </w:tc>
      </w:tr>
      <w:tr>
        <w:tc>
          <w:tcPr>
            <w:tcW w:type="dxa" w:w="2592"/>
          </w:tcPr>
          <w:p>
            <w:r>
              <w:t>NCIE-003</w:t>
            </w:r>
          </w:p>
        </w:tc>
        <w:tc>
          <w:tcPr>
            <w:tcW w:type="dxa" w:w="2592"/>
          </w:tcPr>
          <w:p>
            <w:r>
              <w:t>Data Model &amp; Data Dictionary v0.4</w:t>
            </w:r>
          </w:p>
        </w:tc>
        <w:tc>
          <w:tcPr>
            <w:tcW w:type="dxa" w:w="2592"/>
          </w:tcPr>
          <w:p>
            <w:r>
              <w:t>127-item master decision register: 85 Blocking / 42 Non-Blocking; 125 Open / 2 Closed</w:t>
            </w:r>
          </w:p>
        </w:tc>
        <w:tc>
          <w:tcPr>
            <w:tcW w:type="dxa" w:w="2592"/>
          </w:tcPr>
          <w:p>
            <w:r>
              <w:t>Canonical-data, source-discovery, legal/retention and field-level implementation blockers.</w:t>
            </w:r>
          </w:p>
        </w:tc>
      </w:tr>
      <w:tr>
        <w:tc>
          <w:tcPr>
            <w:tcW w:type="dxa" w:w="2592"/>
          </w:tcPr>
          <w:p>
            <w:r>
              <w:t>NCIE-004</w:t>
            </w:r>
          </w:p>
        </w:tc>
        <w:tc>
          <w:tcPr>
            <w:tcW w:type="dxa" w:w="2592"/>
          </w:tcPr>
          <w:p>
            <w:r>
              <w:t>Technology Stack &amp; Engineering Blueprint v1.2</w:t>
            </w:r>
          </w:p>
        </w:tc>
        <w:tc>
          <w:tcPr>
            <w:tcW w:type="dxa" w:w="2592"/>
          </w:tcPr>
          <w:p>
            <w:r>
              <w:t>Technology-decision register (TD-series)</w:t>
            </w:r>
          </w:p>
        </w:tc>
        <w:tc>
          <w:tcPr>
            <w:tcW w:type="dxa" w:w="2592"/>
          </w:tcPr>
          <w:p>
            <w:r>
              <w:t>Technology/infrastructure selections and discovery dependencies.</w:t>
            </w:r>
          </w:p>
        </w:tc>
      </w:tr>
      <w:tr>
        <w:tc>
          <w:tcPr>
            <w:tcW w:type="dxa" w:w="2592"/>
          </w:tcPr>
          <w:p>
            <w:r>
              <w:t>NCIE-005</w:t>
            </w:r>
          </w:p>
        </w:tc>
        <w:tc>
          <w:tcPr>
            <w:tcW w:type="dxa" w:w="2592"/>
          </w:tcPr>
          <w:p>
            <w:r>
              <w:t>ARGUS v1.3</w:t>
            </w:r>
          </w:p>
        </w:tc>
        <w:tc>
          <w:tcPr>
            <w:tcW w:type="dxa" w:w="2592"/>
          </w:tcPr>
          <w:p>
            <w:r>
              <w:t>22 items: 11 Blocking / 11 Non-Blocking</w:t>
            </w:r>
          </w:p>
        </w:tc>
        <w:tc>
          <w:tcPr>
            <w:tcW w:type="dxa" w:w="2592"/>
          </w:tcPr>
          <w:p>
            <w:r>
              <w:t>ARGUS roles, participation, policy and behavioral implementation decisions.</w:t>
            </w:r>
          </w:p>
        </w:tc>
      </w:tr>
      <w:tr>
        <w:tc>
          <w:tcPr>
            <w:tcW w:type="dxa" w:w="2592"/>
          </w:tcPr>
          <w:p>
            <w:r>
              <w:t>NCIE-006</w:t>
            </w:r>
          </w:p>
        </w:tc>
        <w:tc>
          <w:tcPr>
            <w:tcW w:type="dxa" w:w="2592"/>
          </w:tcPr>
          <w:p>
            <w:r>
              <w:t>Memory &amp; Context v1.2</w:t>
            </w:r>
          </w:p>
        </w:tc>
        <w:tc>
          <w:tcPr>
            <w:tcW w:type="dxa" w:w="2592"/>
          </w:tcPr>
          <w:p>
            <w:r>
              <w:t>20 items: 17 Blocking / 3 Non-Blocking</w:t>
            </w:r>
          </w:p>
        </w:tc>
        <w:tc>
          <w:tcPr>
            <w:tcW w:type="dxa" w:w="2592"/>
          </w:tcPr>
          <w:p>
            <w:r>
              <w:t>Memory retention, ownership, source/workflow and sovereignty decisions.</w:t>
            </w:r>
          </w:p>
        </w:tc>
      </w:tr>
      <w:tr>
        <w:tc>
          <w:tcPr>
            <w:tcW w:type="dxa" w:w="2592"/>
          </w:tcPr>
          <w:p>
            <w:r>
              <w:t>NCIE-007</w:t>
            </w:r>
          </w:p>
        </w:tc>
        <w:tc>
          <w:tcPr>
            <w:tcW w:type="dxa" w:w="2592"/>
          </w:tcPr>
          <w:p>
            <w:r>
              <w:t>AI, Agent &amp; Model Orchestration v1.2</w:t>
            </w:r>
          </w:p>
        </w:tc>
        <w:tc>
          <w:tcPr>
            <w:tcW w:type="dxa" w:w="2592"/>
          </w:tcPr>
          <w:p>
            <w:r>
              <w:t>15 items: 12 Blocking / 3 Non-Blocking</w:t>
            </w:r>
          </w:p>
        </w:tc>
        <w:tc>
          <w:tcPr>
            <w:tcW w:type="dxa" w:w="2592"/>
          </w:tcPr>
          <w:p>
            <w:r>
              <w:t>Model/Agent approval, activation, promotion, security and infrastructure decisions.</w:t>
            </w:r>
          </w:p>
        </w:tc>
      </w:tr>
      <w:tr>
        <w:tc>
          <w:tcPr>
            <w:tcW w:type="dxa" w:w="2592"/>
          </w:tcPr>
          <w:p>
            <w:r>
              <w:t>NCIE-008–018</w:t>
            </w:r>
          </w:p>
        </w:tc>
        <w:tc>
          <w:tcPr>
            <w:tcW w:type="dxa" w:w="2592"/>
          </w:tcPr>
          <w:p>
            <w:r>
              <w:t>Governance through Operational Handover</w:t>
            </w:r>
          </w:p>
        </w:tc>
        <w:tc>
          <w:tcPr>
            <w:tcW w:type="dxa" w:w="2592"/>
          </w:tcPr>
          <w:p>
            <w:r>
              <w:t>Mechanically reconciled HR8–HR18 registers</w:t>
            </w:r>
          </w:p>
        </w:tc>
        <w:tc>
          <w:tcPr>
            <w:tcW w:type="dxa" w:w="2592"/>
          </w:tcPr>
          <w:p>
            <w:r>
              <w:t>Governance, security, Evidence, integration, UX, domain, persistence, operations, verification, roadmap and handover decisions.</w:t>
            </w:r>
          </w:p>
        </w:tc>
      </w:tr>
    </w:tbl>
    <w:p>
      <w:pPr>
        <w:pStyle w:val="Heading1"/>
      </w:pPr>
      <w:r>
        <w:t>3. HR8–HR18 Register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Register</w:t>
            </w:r>
          </w:p>
        </w:tc>
        <w:tc>
          <w:tcPr>
            <w:tcW w:type="dxa" w:w="2592"/>
          </w:tcPr>
          <w:p>
            <w:r>
              <w:t>Total</w:t>
            </w:r>
          </w:p>
        </w:tc>
        <w:tc>
          <w:tcPr>
            <w:tcW w:type="dxa" w:w="2592"/>
          </w:tcPr>
          <w:p>
            <w:r>
              <w:t>Blocking</w:t>
            </w:r>
          </w:p>
        </w:tc>
        <w:tc>
          <w:tcPr>
            <w:tcW w:type="dxa" w:w="2592"/>
          </w:tcPr>
          <w:p>
            <w:r>
              <w:t>Non-Blocking</w:t>
            </w:r>
          </w:p>
        </w:tc>
      </w:tr>
      <w:tr>
        <w:tc>
          <w:tcPr>
            <w:tcW w:type="dxa" w:w="2592"/>
          </w:tcPr>
          <w:p>
            <w:r>
              <w:t>HR8</w:t>
            </w:r>
          </w:p>
        </w:tc>
        <w:tc>
          <w:tcPr>
            <w:tcW w:type="dxa" w:w="2592"/>
          </w:tcPr>
          <w:p>
            <w:r>
              <w:t>26</w:t>
            </w:r>
          </w:p>
        </w:tc>
        <w:tc>
          <w:tcPr>
            <w:tcW w:type="dxa" w:w="2592"/>
          </w:tcPr>
          <w:p>
            <w:r>
              <w:t>21</w:t>
            </w:r>
          </w:p>
        </w:tc>
        <w:tc>
          <w:tcPr>
            <w:tcW w:type="dxa" w:w="2592"/>
          </w:tcPr>
          <w:p>
            <w:r>
              <w:t>5</w:t>
            </w:r>
          </w:p>
        </w:tc>
      </w:tr>
      <w:tr>
        <w:tc>
          <w:tcPr>
            <w:tcW w:type="dxa" w:w="2592"/>
          </w:tcPr>
          <w:p>
            <w:r>
              <w:t>HR9</w:t>
            </w:r>
          </w:p>
        </w:tc>
        <w:tc>
          <w:tcPr>
            <w:tcW w:type="dxa" w:w="2592"/>
          </w:tcPr>
          <w:p>
            <w:r>
              <w:t>28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HR10</w:t>
            </w:r>
          </w:p>
        </w:tc>
        <w:tc>
          <w:tcPr>
            <w:tcW w:type="dxa" w:w="2592"/>
          </w:tcPr>
          <w:p>
            <w:r>
              <w:t>29</w:t>
            </w:r>
          </w:p>
        </w:tc>
        <w:tc>
          <w:tcPr>
            <w:tcW w:type="dxa" w:w="2592"/>
          </w:tcPr>
          <w:p>
            <w:r>
              <w:t>22</w:t>
            </w:r>
          </w:p>
        </w:tc>
        <w:tc>
          <w:tcPr>
            <w:tcW w:type="dxa" w:w="2592"/>
          </w:tcPr>
          <w:p>
            <w:r>
              <w:t>7</w:t>
            </w:r>
          </w:p>
        </w:tc>
      </w:tr>
      <w:tr>
        <w:tc>
          <w:tcPr>
            <w:tcW w:type="dxa" w:w="2592"/>
          </w:tcPr>
          <w:p>
            <w:r>
              <w:t>HR11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8</w:t>
            </w:r>
          </w:p>
        </w:tc>
      </w:tr>
      <w:tr>
        <w:tc>
          <w:tcPr>
            <w:tcW w:type="dxa" w:w="2592"/>
          </w:tcPr>
          <w:p>
            <w:r>
              <w:t>HR12</w:t>
            </w:r>
          </w:p>
        </w:tc>
        <w:tc>
          <w:tcPr>
            <w:tcW w:type="dxa" w:w="2592"/>
          </w:tcPr>
          <w:p>
            <w:r>
              <w:t>37</w:t>
            </w:r>
          </w:p>
        </w:tc>
        <w:tc>
          <w:tcPr>
            <w:tcW w:type="dxa" w:w="2592"/>
          </w:tcPr>
          <w:p>
            <w:r>
              <w:t>28</w:t>
            </w:r>
          </w:p>
        </w:tc>
        <w:tc>
          <w:tcPr>
            <w:tcW w:type="dxa" w:w="2592"/>
          </w:tcPr>
          <w:p>
            <w:r>
              <w:t>9</w:t>
            </w:r>
          </w:p>
        </w:tc>
      </w:tr>
      <w:tr>
        <w:tc>
          <w:tcPr>
            <w:tcW w:type="dxa" w:w="2592"/>
          </w:tcPr>
          <w:p>
            <w:r>
              <w:t>HR13</w:t>
            </w:r>
          </w:p>
        </w:tc>
        <w:tc>
          <w:tcPr>
            <w:tcW w:type="dxa" w:w="2592"/>
          </w:tcPr>
          <w:p>
            <w:r>
              <w:t>34</w:t>
            </w:r>
          </w:p>
        </w:tc>
        <w:tc>
          <w:tcPr>
            <w:tcW w:type="dxa" w:w="2592"/>
          </w:tcPr>
          <w:p>
            <w:r>
              <w:t>30</w:t>
            </w:r>
          </w:p>
        </w:tc>
        <w:tc>
          <w:tcPr>
            <w:tcW w:type="dxa" w:w="2592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HR14</w:t>
            </w:r>
          </w:p>
        </w:tc>
        <w:tc>
          <w:tcPr>
            <w:tcW w:type="dxa" w:w="2592"/>
          </w:tcPr>
          <w:p>
            <w:r>
              <w:t>34</w:t>
            </w:r>
          </w:p>
        </w:tc>
        <w:tc>
          <w:tcPr>
            <w:tcW w:type="dxa" w:w="2592"/>
          </w:tcPr>
          <w:p>
            <w:r>
              <w:t>29</w:t>
            </w:r>
          </w:p>
        </w:tc>
        <w:tc>
          <w:tcPr>
            <w:tcW w:type="dxa" w:w="2592"/>
          </w:tcPr>
          <w:p>
            <w:r>
              <w:t>5</w:t>
            </w:r>
          </w:p>
        </w:tc>
      </w:tr>
      <w:tr>
        <w:tc>
          <w:tcPr>
            <w:tcW w:type="dxa" w:w="2592"/>
          </w:tcPr>
          <w:p>
            <w:r>
              <w:t>HR15</w:t>
            </w:r>
          </w:p>
        </w:tc>
        <w:tc>
          <w:tcPr>
            <w:tcW w:type="dxa" w:w="2592"/>
          </w:tcPr>
          <w:p>
            <w:r>
              <w:t>36</w:t>
            </w:r>
          </w:p>
        </w:tc>
        <w:tc>
          <w:tcPr>
            <w:tcW w:type="dxa" w:w="2592"/>
          </w:tcPr>
          <w:p>
            <w:r>
              <w:t>32</w:t>
            </w:r>
          </w:p>
        </w:tc>
        <w:tc>
          <w:tcPr>
            <w:tcW w:type="dxa" w:w="2592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HR16</w:t>
            </w:r>
          </w:p>
        </w:tc>
        <w:tc>
          <w:tcPr>
            <w:tcW w:type="dxa" w:w="2592"/>
          </w:tcPr>
          <w:p>
            <w:r>
              <w:t>40</w:t>
            </w:r>
          </w:p>
        </w:tc>
        <w:tc>
          <w:tcPr>
            <w:tcW w:type="dxa" w:w="2592"/>
          </w:tcPr>
          <w:p>
            <w:r>
              <w:t>38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HR17</w:t>
            </w:r>
          </w:p>
        </w:tc>
        <w:tc>
          <w:tcPr>
            <w:tcW w:type="dxa" w:w="2592"/>
          </w:tcPr>
          <w:p>
            <w:r>
              <w:t>40</w:t>
            </w:r>
          </w:p>
        </w:tc>
        <w:tc>
          <w:tcPr>
            <w:tcW w:type="dxa" w:w="2592"/>
          </w:tcPr>
          <w:p>
            <w:r>
              <w:t>38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HR18</w:t>
            </w:r>
          </w:p>
        </w:tc>
        <w:tc>
          <w:tcPr>
            <w:tcW w:type="dxa" w:w="2592"/>
          </w:tcPr>
          <w:p>
            <w:r>
              <w:t>36</w:t>
            </w:r>
          </w:p>
        </w:tc>
        <w:tc>
          <w:tcPr>
            <w:tcW w:type="dxa" w:w="2592"/>
          </w:tcPr>
          <w:p>
            <w:r>
              <w:t>34</w:t>
            </w:r>
          </w:p>
        </w:tc>
        <w:tc>
          <w:tcPr>
            <w:tcW w:type="dxa" w:w="2592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HR8–HR18 subtotal</w:t>
            </w:r>
          </w:p>
        </w:tc>
        <w:tc>
          <w:tcPr>
            <w:tcW w:type="dxa" w:w="2592"/>
          </w:tcPr>
          <w:p>
            <w:r>
              <w:t>372</w:t>
            </w:r>
          </w:p>
        </w:tc>
        <w:tc>
          <w:tcPr>
            <w:tcW w:type="dxa" w:w="2592"/>
          </w:tcPr>
          <w:p>
            <w:r>
              <w:t>320</w:t>
            </w:r>
          </w:p>
        </w:tc>
        <w:tc>
          <w:tcPr>
            <w:tcW w:type="dxa" w:w="2592"/>
          </w:tcPr>
          <w:p>
            <w:r>
              <w:t>52</w:t>
            </w:r>
          </w:p>
        </w:tc>
      </w:tr>
    </w:tbl>
    <w:p>
      <w:r>
        <w:t>These are source-register counts, not deduplicated suite-wide blocker counts. NCIE-009–018 deliberately cross-reference many upstream institutional questions, so simple summation would overstate the number of independent decisions.</w:t>
      </w:r>
    </w:p>
    <w:p>
      <w:pPr>
        <w:pStyle w:val="Heading1"/>
      </w:pPr>
      <w:r>
        <w:t>4. Suite-Wide Cascading Blocker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Consolidated family</w:t>
            </w:r>
          </w:p>
        </w:tc>
        <w:tc>
          <w:tcPr>
            <w:tcW w:type="dxa" w:w="2074"/>
          </w:tcPr>
          <w:p>
            <w:r>
              <w:t>Cascade</w:t>
            </w:r>
          </w:p>
        </w:tc>
        <w:tc>
          <w:tcPr>
            <w:tcW w:type="dxa" w:w="2074"/>
          </w:tcPr>
          <w:p>
            <w:r>
              <w:t>Gate stage</w:t>
            </w:r>
          </w:p>
        </w:tc>
        <w:tc>
          <w:tcPr>
            <w:tcW w:type="dxa" w:w="2074"/>
          </w:tcPr>
          <w:p>
            <w:r>
              <w:t>Controlled treatment</w:t>
            </w:r>
          </w:p>
        </w:tc>
      </w:tr>
      <w:tr>
        <w:tc>
          <w:tcPr>
            <w:tcW w:type="dxa" w:w="2074"/>
          </w:tcPr>
          <w:p>
            <w:r>
              <w:t>CB-01</w:t>
            </w:r>
          </w:p>
        </w:tc>
        <w:tc>
          <w:tcPr>
            <w:tcW w:type="dxa" w:w="2074"/>
          </w:tcPr>
          <w:p>
            <w:r>
              <w:t>Acceptance / sign-off authority</w:t>
            </w:r>
          </w:p>
        </w:tc>
        <w:tc>
          <w:tcPr>
            <w:tcW w:type="dxa" w:w="2074"/>
          </w:tcPr>
          <w:p>
            <w:r>
              <w:t>Repeated from governance into security, Evidence, integration, UX, persistence, operations, verification, roadmap and handover.</w:t>
            </w:r>
          </w:p>
        </w:tc>
        <w:tc>
          <w:tcPr>
            <w:tcW w:type="dxa" w:w="2074"/>
          </w:tcPr>
          <w:p>
            <w:r>
              <w:t>IMPLEMENTATION ENTRY</w:t>
            </w:r>
          </w:p>
        </w:tc>
        <w:tc>
          <w:tcPr>
            <w:tcW w:type="dxa" w:w="2074"/>
          </w:tcPr>
          <w:p>
            <w:r>
              <w:t>Resolve the authoritative approval/sign-off classes and delegation/SoD model once; downstream documents consume it.</w:t>
            </w:r>
          </w:p>
        </w:tc>
      </w:tr>
      <w:tr>
        <w:tc>
          <w:tcPr>
            <w:tcW w:type="dxa" w:w="2074"/>
          </w:tcPr>
          <w:p>
            <w:r>
              <w:t>CB-02</w:t>
            </w:r>
          </w:p>
        </w:tc>
        <w:tc>
          <w:tcPr>
            <w:tcW w:type="dxa" w:w="2074"/>
          </w:tcPr>
          <w:p>
            <w:r>
              <w:t>Role, ownership and accountability assignment</w:t>
            </w:r>
          </w:p>
        </w:tc>
        <w:tc>
          <w:tcPr>
            <w:tcW w:type="dxa" w:w="2074"/>
          </w:tcPr>
          <w:p>
            <w:r>
              <w:t>Governance RACI cascades into service, data, security, Agent, module, platform and handover ownership.</w:t>
            </w:r>
          </w:p>
        </w:tc>
        <w:tc>
          <w:tcPr>
            <w:tcW w:type="dxa" w:w="2074"/>
          </w:tcPr>
          <w:p>
            <w:r>
              <w:t>IMPLEMENTATION ENTRY</w:t>
            </w:r>
          </w:p>
        </w:tc>
        <w:tc>
          <w:tcPr>
            <w:tcW w:type="dxa" w:w="2074"/>
          </w:tcPr>
          <w:p>
            <w:r>
              <w:t>Confirm role classes/accountable authorities; named appointments may remain later unless required for access/execution.</w:t>
            </w:r>
          </w:p>
        </w:tc>
      </w:tr>
      <w:tr>
        <w:tc>
          <w:tcPr>
            <w:tcW w:type="dxa" w:w="2074"/>
          </w:tcPr>
          <w:p>
            <w:r>
              <w:t>CB-03</w:t>
            </w:r>
          </w:p>
        </w:tc>
        <w:tc>
          <w:tcPr>
            <w:tcW w:type="dxa" w:w="2074"/>
          </w:tcPr>
          <w:p>
            <w:r>
              <w:t>Security / sovereignty / privileged-access decisions</w:t>
            </w:r>
          </w:p>
        </w:tc>
        <w:tc>
          <w:tcPr>
            <w:tcW w:type="dxa" w:w="2074"/>
          </w:tcPr>
          <w:p>
            <w:r>
              <w:t>IAM, data classification, residency, secrets, egress, sandbox, DLP and privileged administration cascade across most technical workstreams.</w:t>
            </w:r>
          </w:p>
        </w:tc>
        <w:tc>
          <w:tcPr>
            <w:tcW w:type="dxa" w:w="2074"/>
          </w:tcPr>
          <w:p>
            <w:r>
              <w:t>IMPLEMENTATION ENTRY</w:t>
            </w:r>
          </w:p>
        </w:tc>
        <w:tc>
          <w:tcPr>
            <w:tcW w:type="dxa" w:w="2074"/>
          </w:tcPr>
          <w:p>
            <w:r>
              <w:t>Resolve controls necessary to build environments and handle protected data; operational rosters remain later.</w:t>
            </w:r>
          </w:p>
        </w:tc>
      </w:tr>
      <w:tr>
        <w:tc>
          <w:tcPr>
            <w:tcW w:type="dxa" w:w="2074"/>
          </w:tcPr>
          <w:p>
            <w:r>
              <w:t>CB-04</w:t>
            </w:r>
          </w:p>
        </w:tc>
        <w:tc>
          <w:tcPr>
            <w:tcW w:type="dxa" w:w="2074"/>
          </w:tcPr>
          <w:p>
            <w:r>
              <w:t>Canonical data / source / field / retention decisions</w:t>
            </w:r>
          </w:p>
        </w:tc>
        <w:tc>
          <w:tcPr>
            <w:tcW w:type="dxa" w:w="2074"/>
          </w:tcPr>
          <w:p>
            <w:r>
              <w:t>NCIE-003's large register drives API, Evidence, domain, storage, testing and migration dependencies.</w:t>
            </w:r>
          </w:p>
        </w:tc>
        <w:tc>
          <w:tcPr>
            <w:tcW w:type="dxa" w:w="2074"/>
          </w:tcPr>
          <w:p>
            <w:r>
              <w:t>IMPLEMENTATION ENTRY</w:t>
            </w:r>
          </w:p>
        </w:tc>
        <w:tc>
          <w:tcPr>
            <w:tcW w:type="dxa" w:w="2074"/>
          </w:tcPr>
          <w:p>
            <w:r>
              <w:t>Resolve field semantics, source precedence, required discovery and legally material retention needed to implement schemas/contracts.</w:t>
            </w:r>
          </w:p>
        </w:tc>
      </w:tr>
      <w:tr>
        <w:tc>
          <w:tcPr>
            <w:tcW w:type="dxa" w:w="2074"/>
          </w:tcPr>
          <w:p>
            <w:r>
              <w:t>CB-05</w:t>
            </w:r>
          </w:p>
        </w:tc>
        <w:tc>
          <w:tcPr>
            <w:tcW w:type="dxa" w:w="2074"/>
          </w:tcPr>
          <w:p>
            <w:r>
              <w:t>Technology / infrastructure selections</w:t>
            </w:r>
          </w:p>
        </w:tc>
        <w:tc>
          <w:tcPr>
            <w:tcW w:type="dxa" w:w="2074"/>
          </w:tcPr>
          <w:p>
            <w:r>
              <w:t>NCIE-004/014/015 choices cascade into environment, persistence, runtime, CI/CD, observability and test environments.</w:t>
            </w:r>
          </w:p>
        </w:tc>
        <w:tc>
          <w:tcPr>
            <w:tcW w:type="dxa" w:w="2074"/>
          </w:tcPr>
          <w:p>
            <w:r>
              <w:t>IMPLEMENTATION ENTRY</w:t>
            </w:r>
          </w:p>
        </w:tc>
        <w:tc>
          <w:tcPr>
            <w:tcW w:type="dxa" w:w="2074"/>
          </w:tcPr>
          <w:p>
            <w:r>
              <w:t>Select or authorize property-based implementation baselines for technologies that block build packages.</w:t>
            </w:r>
          </w:p>
        </w:tc>
      </w:tr>
      <w:tr>
        <w:tc>
          <w:tcPr>
            <w:tcW w:type="dxa" w:w="2074"/>
          </w:tcPr>
          <w:p>
            <w:r>
              <w:t>CB-06</w:t>
            </w:r>
          </w:p>
        </w:tc>
        <w:tc>
          <w:tcPr>
            <w:tcW w:type="dxa" w:w="2074"/>
          </w:tcPr>
          <w:p>
            <w:r>
              <w:t>ARGUS / Memory / Agent / Model / Tool authority policies</w:t>
            </w:r>
          </w:p>
        </w:tc>
        <w:tc>
          <w:tcPr>
            <w:tcW w:type="dxa" w:w="2074"/>
          </w:tcPr>
          <w:p>
            <w:r>
              <w:t>Activation, retention, participation, model approval, Tool consequences and VPF boundaries cascade into UX/security/testing.</w:t>
            </w:r>
          </w:p>
        </w:tc>
        <w:tc>
          <w:tcPr>
            <w:tcW w:type="dxa" w:w="2074"/>
          </w:tcPr>
          <w:p>
            <w:r>
              <w:t>IMPLEMENTATION ENTRY for affected AI work packages</w:t>
            </w:r>
          </w:p>
        </w:tc>
        <w:tc>
          <w:tcPr>
            <w:tcW w:type="dxa" w:w="2074"/>
          </w:tcPr>
          <w:p>
            <w:r>
              <w:t>Resolve only policies required for the first AI/ARGUS build tranche; later feature-specific decisions may remain staged.</w:t>
            </w:r>
          </w:p>
        </w:tc>
      </w:tr>
      <w:tr>
        <w:tc>
          <w:tcPr>
            <w:tcW w:type="dxa" w:w="2074"/>
          </w:tcPr>
          <w:p>
            <w:r>
              <w:t>CB-07</w:t>
            </w:r>
          </w:p>
        </w:tc>
        <w:tc>
          <w:tcPr>
            <w:tcW w:type="dxa" w:w="2074"/>
          </w:tcPr>
          <w:p>
            <w:r>
              <w:t>Domain rules / KPI / threshold / risk-use decisions</w:t>
            </w:r>
          </w:p>
        </w:tc>
        <w:tc>
          <w:tcPr>
            <w:tcW w:type="dxa" w:w="2074"/>
          </w:tcPr>
          <w:p>
            <w:r>
              <w:t>NCIE-013 decisions cascade into data, UX, testing and module sequencing.</w:t>
            </w:r>
          </w:p>
        </w:tc>
        <w:tc>
          <w:tcPr>
            <w:tcW w:type="dxa" w:w="2074"/>
          </w:tcPr>
          <w:p>
            <w:r>
              <w:t>WORKSTREAM ENTRY</w:t>
            </w:r>
          </w:p>
        </w:tc>
        <w:tc>
          <w:tcPr>
            <w:tcW w:type="dxa" w:w="2074"/>
          </w:tcPr>
          <w:p>
            <w:r>
              <w:t>Must be resolved before each affected Functional Module is implemented/validated; not necessarily before platform foundation work.</w:t>
            </w:r>
          </w:p>
        </w:tc>
      </w:tr>
      <w:tr>
        <w:tc>
          <w:tcPr>
            <w:tcW w:type="dxa" w:w="2074"/>
          </w:tcPr>
          <w:p>
            <w:r>
              <w:t>CB-08</w:t>
            </w:r>
          </w:p>
        </w:tc>
        <w:tc>
          <w:tcPr>
            <w:tcW w:type="dxa" w:w="2074"/>
          </w:tcPr>
          <w:p>
            <w:r>
              <w:t>External provider / connector / workflow discovery</w:t>
            </w:r>
          </w:p>
        </w:tc>
        <w:tc>
          <w:tcPr>
            <w:tcW w:type="dxa" w:w="2074"/>
          </w:tcPr>
          <w:p>
            <w:r>
              <w:t>NCIE-011 and source-discovery decisions cascade into integration, domain, testing and roadmap.</w:t>
            </w:r>
          </w:p>
        </w:tc>
        <w:tc>
          <w:tcPr>
            <w:tcW w:type="dxa" w:w="2074"/>
          </w:tcPr>
          <w:p>
            <w:r>
              <w:t>WORKSTREAM ENTRY</w:t>
            </w:r>
          </w:p>
        </w:tc>
        <w:tc>
          <w:tcPr>
            <w:tcW w:type="dxa" w:w="2074"/>
          </w:tcPr>
          <w:p>
            <w:r>
              <w:t>Discovery/contract/security prerequisites gate affected connectors, not unrelated foundation work.</w:t>
            </w:r>
          </w:p>
        </w:tc>
      </w:tr>
      <w:tr>
        <w:tc>
          <w:tcPr>
            <w:tcW w:type="dxa" w:w="2074"/>
          </w:tcPr>
          <w:p>
            <w:r>
              <w:t>CB-09</w:t>
            </w:r>
          </w:p>
        </w:tc>
        <w:tc>
          <w:tcPr>
            <w:tcW w:type="dxa" w:w="2074"/>
          </w:tcPr>
          <w:p>
            <w:r>
              <w:t>Persistence retention / RPO-RTO / DR / migration acceptance</w:t>
            </w:r>
          </w:p>
        </w:tc>
        <w:tc>
          <w:tcPr>
            <w:tcW w:type="dxa" w:w="2074"/>
          </w:tcPr>
          <w:p>
            <w:r>
              <w:t>NCIE-014/015 decisions cascade into testing and operational readiness.</w:t>
            </w:r>
          </w:p>
        </w:tc>
        <w:tc>
          <w:tcPr>
            <w:tcW w:type="dxa" w:w="2074"/>
          </w:tcPr>
          <w:p>
            <w:r>
              <w:t>MIXED</w:t>
            </w:r>
          </w:p>
        </w:tc>
        <w:tc>
          <w:tcPr>
            <w:tcW w:type="dxa" w:w="2074"/>
          </w:tcPr>
          <w:p>
            <w:r>
              <w:t>Core storage technology/migration constraints gate build; final RPO/RTO acceptance and DR proof gate later release/readiness.</w:t>
            </w:r>
          </w:p>
        </w:tc>
      </w:tr>
      <w:tr>
        <w:tc>
          <w:tcPr>
            <w:tcW w:type="dxa" w:w="2074"/>
          </w:tcPr>
          <w:p>
            <w:r>
              <w:t>CB-10</w:t>
            </w:r>
          </w:p>
        </w:tc>
        <w:tc>
          <w:tcPr>
            <w:tcW w:type="dxa" w:w="2074"/>
          </w:tcPr>
          <w:p>
            <w:r>
              <w:t>Verification tools / thresholds / representative scenarios / acceptance evidence</w:t>
            </w:r>
          </w:p>
        </w:tc>
        <w:tc>
          <w:tcPr>
            <w:tcW w:type="dxa" w:w="2074"/>
          </w:tcPr>
          <w:p>
            <w:r>
              <w:t>NCIE-016 decisions consume upstream requirements and govern test execution.</w:t>
            </w:r>
          </w:p>
        </w:tc>
        <w:tc>
          <w:tcPr>
            <w:tcW w:type="dxa" w:w="2074"/>
          </w:tcPr>
          <w:p>
            <w:r>
              <w:t>BEFORE TEST EXECUTION / RELEASE</w:t>
            </w:r>
          </w:p>
        </w:tc>
        <w:tc>
          <w:tcPr>
            <w:tcW w:type="dxa" w:w="2074"/>
          </w:tcPr>
          <w:p>
            <w:r>
              <w:t>Test architecture may be implemented earlier; authoritative pass thresholds, independence and sign-off must close before results can support acceptance.</w:t>
            </w:r>
          </w:p>
        </w:tc>
      </w:tr>
      <w:tr>
        <w:tc>
          <w:tcPr>
            <w:tcW w:type="dxa" w:w="2074"/>
          </w:tcPr>
          <w:p>
            <w:r>
              <w:t>CB-11</w:t>
            </w:r>
          </w:p>
        </w:tc>
        <w:tc>
          <w:tcPr>
            <w:tcW w:type="dxa" w:w="2074"/>
          </w:tcPr>
          <w:p>
            <w:r>
              <w:t>Roadmap resources / schedule / procurement / workstream authority</w:t>
            </w:r>
          </w:p>
        </w:tc>
        <w:tc>
          <w:tcPr>
            <w:tcW w:type="dxa" w:w="2074"/>
          </w:tcPr>
          <w:p>
            <w:r>
              <w:t>NCIE-017 planning decisions.</w:t>
            </w:r>
          </w:p>
        </w:tc>
        <w:tc>
          <w:tcPr>
            <w:tcW w:type="dxa" w:w="2074"/>
          </w:tcPr>
          <w:p>
            <w:r>
              <w:t>CONDITIONAL IMPLEMENTATION ENTRY</w:t>
            </w:r>
          </w:p>
        </w:tc>
        <w:tc>
          <w:tcPr>
            <w:tcW w:type="dxa" w:w="2074"/>
          </w:tcPr>
          <w:p>
            <w:r>
              <w:t>Resource/workstream ownership needed to start controlled work; calendar commitments and full programme schedule need not block technical foundation if Human authorizes tranche-based entry.</w:t>
            </w:r>
          </w:p>
        </w:tc>
      </w:tr>
      <w:tr>
        <w:tc>
          <w:tcPr>
            <w:tcW w:type="dxa" w:w="2074"/>
          </w:tcPr>
          <w:p>
            <w:r>
              <w:t>CB-12</w:t>
            </w:r>
          </w:p>
        </w:tc>
        <w:tc>
          <w:tcPr>
            <w:tcW w:type="dxa" w:w="2074"/>
          </w:tcPr>
          <w:p>
            <w:r>
              <w:t>Organizational staffing / training / on-call / service catalogue / readiness</w:t>
            </w:r>
          </w:p>
        </w:tc>
        <w:tc>
          <w:tcPr>
            <w:tcW w:type="dxa" w:w="2074"/>
          </w:tcPr>
          <w:p>
            <w:r>
              <w:t>NCIE-018 decisions.</w:t>
            </w:r>
          </w:p>
        </w:tc>
        <w:tc>
          <w:tcPr>
            <w:tcW w:type="dxa" w:w="2074"/>
          </w:tcPr>
          <w:p>
            <w:r>
              <w:t>LATER-STAGE OPERATIONAL READINESS</w:t>
            </w:r>
          </w:p>
        </w:tc>
        <w:tc>
          <w:tcPr>
            <w:tcW w:type="dxa" w:w="2074"/>
          </w:tcPr>
          <w:p>
            <w:r>
              <w:t>Do not block early controlled implementation unless a specific operator/access owner is required for a build activity.</w:t>
            </w:r>
          </w:p>
        </w:tc>
      </w:tr>
      <w:tr>
        <w:tc>
          <w:tcPr>
            <w:tcW w:type="dxa" w:w="2074"/>
          </w:tcPr>
          <w:p>
            <w:r>
              <w:t>CB-13</w:t>
            </w:r>
          </w:p>
        </w:tc>
        <w:tc>
          <w:tcPr>
            <w:tcW w:type="dxa" w:w="2074"/>
          </w:tcPr>
          <w:p>
            <w:r>
              <w:t>Residual-risk acceptance / go-live / production acceptance</w:t>
            </w:r>
          </w:p>
        </w:tc>
        <w:tc>
          <w:tcPr>
            <w:tcW w:type="dxa" w:w="2074"/>
          </w:tcPr>
          <w:p>
            <w:r>
              <w:t>NCIE-016/018 terminal authority.</w:t>
            </w:r>
          </w:p>
        </w:tc>
        <w:tc>
          <w:tcPr>
            <w:tcW w:type="dxa" w:w="2074"/>
          </w:tcPr>
          <w:p>
            <w:r>
              <w:t>RELEASE / GO-LIVE</w:t>
            </w:r>
          </w:p>
        </w:tc>
        <w:tc>
          <w:tcPr>
            <w:tcW w:type="dxa" w:w="2074"/>
          </w:tcPr>
          <w:p>
            <w:r>
              <w:t>Explicitly not an implementation-entry prerequisite; must remain open and visible until evidence exists.</w:t>
            </w:r>
          </w:p>
        </w:tc>
      </w:tr>
    </w:tbl>
    <w:p>
      <w:pPr>
        <w:pStyle w:val="Heading1"/>
      </w:pPr>
      <w:r>
        <w:t>5. True Implementation-Entry Blockers</w:t>
      </w:r>
    </w:p>
    <w:p>
      <w:pPr>
        <w:pStyle w:val="ListBullet"/>
      </w:pPr>
      <w:r>
        <w:t>An authoritative baseline and change-control path for NCIE-001–018 must be fixed for the implementation tranche.</w:t>
      </w:r>
    </w:p>
    <w:p>
      <w:pPr>
        <w:pStyle w:val="ListBullet"/>
      </w:pPr>
      <w:r>
        <w:t>Accountable implementation authority, segregation of duties and escalation must be confirmed at role-class level.</w:t>
      </w:r>
    </w:p>
    <w:p>
      <w:pPr>
        <w:pStyle w:val="ListBullet"/>
      </w:pPr>
      <w:r>
        <w:t>Security/IAM/Zero-Trust controls required to create environments, identities, secrets, network paths and protected-data access must be resolved for the tranche.</w:t>
      </w:r>
    </w:p>
    <w:p>
      <w:pPr>
        <w:pStyle w:val="ListBullet"/>
      </w:pPr>
      <w:r>
        <w:t>Canonical data semantics, identifiers, source mappings and legally/security-material retention/classification decisions needed by the tranche must be resolved or explicitly excluded.</w:t>
      </w:r>
    </w:p>
    <w:p>
      <w:pPr>
        <w:pStyle w:val="ListBullet"/>
      </w:pPr>
      <w:r>
        <w:t>Blocking technology/infrastructure selections or property-based implementation baselines required by the tranche must be approved.</w:t>
      </w:r>
    </w:p>
    <w:p>
      <w:pPr>
        <w:pStyle w:val="ListBullet"/>
      </w:pPr>
      <w:r>
        <w:t>Any Agent/Model/Tool/ARGUS policy that changes whether the tranche may execute consequential or sensitive operations must be resolved before that capability is activated.</w:t>
      </w:r>
    </w:p>
    <w:p>
      <w:pPr>
        <w:pStyle w:val="ListBullet"/>
      </w:pPr>
      <w:r>
        <w:t>NCIE-017 work packages selected for entry must have defined inputs, outputs, predecessors, owner role, Definition of Ready, evidence obligations and NCIE-016 verification linkage.</w:t>
      </w:r>
    </w:p>
    <w:p>
      <w:pPr>
        <w:pStyle w:val="ListBullet"/>
      </w:pPr>
      <w:r>
        <w:t>Every unresolved upstream blocker affecting a selected work package must be either resolved, formally excluded from that tranche, or held behind a non-bypassable feature/workstream gate.</w:t>
      </w:r>
    </w:p>
    <w:p>
      <w:pPr>
        <w:pStyle w:val="Heading1"/>
      </w:pPr>
      <w:r>
        <w:t>6. Later-Stage Blockers That Must NOT Be Misclassified as Build-Entry Blockers</w:t>
      </w:r>
    </w:p>
    <w:p>
      <w:pPr>
        <w:pStyle w:val="ListBullet"/>
      </w:pPr>
      <w:r>
        <w:t>Final representative-user acceptance, accessibility conformance and usability acceptance.</w:t>
      </w:r>
    </w:p>
    <w:p>
      <w:pPr>
        <w:pStyle w:val="ListBullet"/>
      </w:pPr>
      <w:r>
        <w:t>Full system/E2E test pass, penetration-test conclusions, performance/capacity proof and DR/game-day validation.</w:t>
      </w:r>
    </w:p>
    <w:p>
      <w:pPr>
        <w:pStyle w:val="ListBullet"/>
      </w:pPr>
      <w:r>
        <w:t>Final RPO/RTO achievement evidence where not needed to construct the initial environment.</w:t>
      </w:r>
    </w:p>
    <w:p>
      <w:pPr>
        <w:pStyle w:val="ListBullet"/>
      </w:pPr>
      <w:r>
        <w:t>Production on-call rosters, full service catalogue/support hours and final staffing appointments.</w:t>
      </w:r>
    </w:p>
    <w:p>
      <w:pPr>
        <w:pStyle w:val="ListBullet"/>
      </w:pPr>
      <w:r>
        <w:t>Training completion and operational qualification for production operators.</w:t>
      </w:r>
    </w:p>
    <w:p>
      <w:pPr>
        <w:pStyle w:val="ListBullet"/>
      </w:pPr>
      <w:r>
        <w:t>Residual-risk acceptance, operational-readiness acceptance, go-live recommendation and go-live authorization.</w:t>
      </w:r>
    </w:p>
    <w:p>
      <w:pPr>
        <w:pStyle w:val="ListBullet"/>
      </w:pPr>
      <w:r>
        <w:t>Production release authorization and final institutional acceptance.</w:t>
      </w:r>
    </w:p>
    <w:p>
      <w:pPr>
        <w:pStyle w:val="Heading1"/>
      </w:pPr>
      <w:r>
        <w:t>7. NCIE-016 ↔ NCIE-017 ↔ NCIE-018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Lifecycle state</w:t>
            </w:r>
          </w:p>
        </w:tc>
        <w:tc>
          <w:tcPr>
            <w:tcW w:type="dxa" w:w="2074"/>
          </w:tcPr>
          <w:p>
            <w:r>
              <w:t>NCIE-017 work-package state</w:t>
            </w:r>
          </w:p>
        </w:tc>
        <w:tc>
          <w:tcPr>
            <w:tcW w:type="dxa" w:w="2074"/>
          </w:tcPr>
          <w:p>
            <w:r>
              <w:t>NCIE-016 verification state</w:t>
            </w:r>
          </w:p>
        </w:tc>
        <w:tc>
          <w:tcPr>
            <w:tcW w:type="dxa" w:w="2074"/>
          </w:tcPr>
          <w:p>
            <w:r>
              <w:t>NCIE-018 readiness state</w:t>
            </w:r>
          </w:p>
        </w:tc>
        <w:tc>
          <w:tcPr>
            <w:tcW w:type="dxa" w:w="2074"/>
          </w:tcPr>
          <w:p>
            <w:r>
              <w:t>Permitted conclusion</w:t>
            </w:r>
          </w:p>
        </w:tc>
      </w:tr>
      <w:tr>
        <w:tc>
          <w:tcPr>
            <w:tcW w:type="dxa" w:w="2074"/>
          </w:tcPr>
          <w:p>
            <w:r>
              <w:t>Planning</w:t>
            </w:r>
          </w:p>
        </w:tc>
        <w:tc>
          <w:tcPr>
            <w:tcW w:type="dxa" w:w="2074"/>
          </w:tcPr>
          <w:p>
            <w:r>
              <w:t>DEFINED / NOT STARTED</w:t>
            </w:r>
          </w:p>
        </w:tc>
        <w:tc>
          <w:tcPr>
            <w:tcW w:type="dxa" w:w="2074"/>
          </w:tcPr>
          <w:p>
            <w:r>
              <w:t>TEST SPECIFIED</w:t>
            </w:r>
          </w:p>
        </w:tc>
        <w:tc>
          <w:tcPr>
            <w:tcW w:type="dxa" w:w="2074"/>
          </w:tcPr>
          <w:p>
            <w:r>
              <w:t>OWNERSHIP/READINESS REQUIREMENTS DEFINED</w:t>
            </w:r>
          </w:p>
        </w:tc>
        <w:tc>
          <w:tcPr>
            <w:tcW w:type="dxa" w:w="2074"/>
          </w:tcPr>
          <w:p>
            <w:r>
              <w:t>No implementation authorization implied.</w:t>
            </w:r>
          </w:p>
        </w:tc>
      </w:tr>
      <w:tr>
        <w:tc>
          <w:tcPr>
            <w:tcW w:type="dxa" w:w="2074"/>
          </w:tcPr>
          <w:p>
            <w:r>
              <w:t>Entry candidate</w:t>
            </w:r>
          </w:p>
        </w:tc>
        <w:tc>
          <w:tcPr>
            <w:tcW w:type="dxa" w:w="2074"/>
          </w:tcPr>
          <w:p>
            <w:r>
              <w:t>READY subject to dependencies</w:t>
            </w:r>
          </w:p>
        </w:tc>
        <w:tc>
          <w:tcPr>
            <w:tcW w:type="dxa" w:w="2074"/>
          </w:tcPr>
          <w:p>
            <w:r>
              <w:t>Tests mapped; environment/evidence requirements known</w:t>
            </w:r>
          </w:p>
        </w:tc>
        <w:tc>
          <w:tcPr>
            <w:tcW w:type="dxa" w:w="2074"/>
          </w:tcPr>
          <w:p>
            <w:r>
              <w:t>Required implementation owner/access path identified</w:t>
            </w:r>
          </w:p>
        </w:tc>
        <w:tc>
          <w:tcPr>
            <w:tcW w:type="dxa" w:w="2074"/>
          </w:tcPr>
          <w:p>
            <w:r>
              <w:t>Eligible for Human Implementation Entry decision only.</w:t>
            </w:r>
          </w:p>
        </w:tc>
      </w:tr>
      <w:tr>
        <w:tc>
          <w:tcPr>
            <w:tcW w:type="dxa" w:w="2074"/>
          </w:tcPr>
          <w:p>
            <w:r>
              <w:t>Implementation</w:t>
            </w:r>
          </w:p>
        </w:tc>
        <w:tc>
          <w:tcPr>
            <w:tcW w:type="dxa" w:w="2074"/>
          </w:tcPr>
          <w:p>
            <w:r>
              <w:t>IN PROGRESS</w:t>
            </w:r>
          </w:p>
        </w:tc>
        <w:tc>
          <w:tcPr>
            <w:tcW w:type="dxa" w:w="2074"/>
          </w:tcPr>
          <w:p>
            <w:r>
              <w:t>NOT EXECUTED unless actual run evidence exists</w:t>
            </w:r>
          </w:p>
        </w:tc>
        <w:tc>
          <w:tcPr>
            <w:tcW w:type="dxa" w:w="2074"/>
          </w:tcPr>
          <w:p>
            <w:r>
              <w:t>Operational readiness may remain pending</w:t>
            </w:r>
          </w:p>
        </w:tc>
        <w:tc>
          <w:tcPr>
            <w:tcW w:type="dxa" w:w="2074"/>
          </w:tcPr>
          <w:p>
            <w:r>
              <w:t>Build work may proceed within authorized tranche.</w:t>
            </w:r>
          </w:p>
        </w:tc>
      </w:tr>
      <w:tr>
        <w:tc>
          <w:tcPr>
            <w:tcW w:type="dxa" w:w="2074"/>
          </w:tcPr>
          <w:p>
            <w:r>
              <w:t>Work complete</w:t>
            </w:r>
          </w:p>
        </w:tc>
        <w:tc>
          <w:tcPr>
            <w:tcW w:type="dxa" w:w="2074"/>
          </w:tcPr>
          <w:p>
            <w:r>
              <w:t>IMPLEMENTED / WORK COMPLETE</w:t>
            </w:r>
          </w:p>
        </w:tc>
        <w:tc>
          <w:tcPr>
            <w:tcW w:type="dxa" w:w="2074"/>
          </w:tcPr>
          <w:p>
            <w:r>
              <w:t>TEST PENDING or EXECUTED</w:t>
            </w:r>
          </w:p>
        </w:tc>
        <w:tc>
          <w:tcPr>
            <w:tcW w:type="dxa" w:w="2074"/>
          </w:tcPr>
          <w:p>
            <w:r>
              <w:t>Training/runbooks/ownership may still be incomplete</w:t>
            </w:r>
          </w:p>
        </w:tc>
        <w:tc>
          <w:tcPr>
            <w:tcW w:type="dxa" w:w="2074"/>
          </w:tcPr>
          <w:p>
            <w:r>
              <w:t>BUILD COMPLETE ≠ TEST PASSED.</w:t>
            </w:r>
          </w:p>
        </w:tc>
      </w:tr>
      <w:tr>
        <w:tc>
          <w:tcPr>
            <w:tcW w:type="dxa" w:w="2074"/>
          </w:tcPr>
          <w:p>
            <w:r>
              <w:t>Verified</w:t>
            </w:r>
          </w:p>
        </w:tc>
        <w:tc>
          <w:tcPr>
            <w:tcW w:type="dxa" w:w="2074"/>
          </w:tcPr>
          <w:p>
            <w:r>
              <w:t>Work package complete</w:t>
            </w:r>
          </w:p>
        </w:tc>
        <w:tc>
          <w:tcPr>
            <w:tcW w:type="dxa" w:w="2074"/>
          </w:tcPr>
          <w:p>
            <w:r>
              <w:t>PASSED for required tests with attributable evidence</w:t>
            </w:r>
          </w:p>
        </w:tc>
        <w:tc>
          <w:tcPr>
            <w:tcW w:type="dxa" w:w="2074"/>
          </w:tcPr>
          <w:p>
            <w:r>
              <w:t>Operational readiness still separately assessed</w:t>
            </w:r>
          </w:p>
        </w:tc>
        <w:tc>
          <w:tcPr>
            <w:tcW w:type="dxa" w:w="2074"/>
          </w:tcPr>
          <w:p>
            <w:r>
              <w:t>TEST PASSED ≠ PRODUCTION ACCEPTANCE.</w:t>
            </w:r>
          </w:p>
        </w:tc>
      </w:tr>
      <w:tr>
        <w:tc>
          <w:tcPr>
            <w:tcW w:type="dxa" w:w="2074"/>
          </w:tcPr>
          <w:p>
            <w:r>
              <w:t>Handover candidate</w:t>
            </w:r>
          </w:p>
        </w:tc>
        <w:tc>
          <w:tcPr>
            <w:tcW w:type="dxa" w:w="2074"/>
          </w:tcPr>
          <w:p>
            <w:r>
              <w:t>Accepted implementation evidence available</w:t>
            </w:r>
          </w:p>
        </w:tc>
        <w:tc>
          <w:tcPr>
            <w:tcW w:type="dxa" w:w="2074"/>
          </w:tcPr>
          <w:p>
            <w:r>
              <w:t>Required verification evidence available</w:t>
            </w:r>
          </w:p>
        </w:tc>
        <w:tc>
          <w:tcPr>
            <w:tcW w:type="dxa" w:w="2074"/>
          </w:tcPr>
          <w:p>
            <w:r>
              <w:t>Readiness assessment may be performed</w:t>
            </w:r>
          </w:p>
        </w:tc>
        <w:tc>
          <w:tcPr>
            <w:tcW w:type="dxa" w:w="2074"/>
          </w:tcPr>
          <w:p>
            <w:r>
              <w:t>HANDOVER ≠ ACCEPTANCE.</w:t>
            </w:r>
          </w:p>
        </w:tc>
      </w:tr>
      <w:tr>
        <w:tc>
          <w:tcPr>
            <w:tcW w:type="dxa" w:w="2074"/>
          </w:tcPr>
          <w:p>
            <w:r>
              <w:t>Production candidate</w:t>
            </w:r>
          </w:p>
        </w:tc>
        <w:tc>
          <w:tcPr>
            <w:tcW w:type="dxa" w:w="2074"/>
          </w:tcPr>
          <w:p>
            <w:r>
              <w:t>Release package complete</w:t>
            </w:r>
          </w:p>
        </w:tc>
        <w:tc>
          <w:tcPr>
            <w:tcW w:type="dxa" w:w="2074"/>
          </w:tcPr>
          <w:p>
            <w:r>
              <w:t>Acceptance evidence reviewed</w:t>
            </w:r>
          </w:p>
        </w:tc>
        <w:tc>
          <w:tcPr>
            <w:tcW w:type="dxa" w:w="2074"/>
          </w:tcPr>
          <w:p>
            <w:r>
              <w:t>Readiness blockers closed/accepted by authority</w:t>
            </w:r>
          </w:p>
        </w:tc>
        <w:tc>
          <w:tcPr>
            <w:tcW w:type="dxa" w:w="2074"/>
          </w:tcPr>
          <w:p>
            <w:r>
              <w:t>Human go-live decision may be requested; not automatic.</w:t>
            </w:r>
          </w:p>
        </w:tc>
      </w:tr>
    </w:tbl>
    <w:p>
      <w:pPr>
        <w:pStyle w:val="Heading1"/>
      </w:pPr>
      <w:r>
        <w:t>8. Controlled Implementation Entry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Gate criterion</w:t>
            </w:r>
          </w:p>
        </w:tc>
        <w:tc>
          <w:tcPr>
            <w:tcW w:type="dxa" w:w="2592"/>
          </w:tcPr>
          <w:p>
            <w:r>
              <w:t>Required evidence</w:t>
            </w:r>
          </w:p>
        </w:tc>
        <w:tc>
          <w:tcPr>
            <w:tcW w:type="dxa" w:w="2592"/>
          </w:tcPr>
          <w:p>
            <w:r>
              <w:t>Current source-derived status</w:t>
            </w:r>
          </w:p>
        </w:tc>
        <w:tc>
          <w:tcPr>
            <w:tcW w:type="dxa" w:w="2592"/>
          </w:tcPr>
          <w:p>
            <w:r>
              <w:t>Entry effect</w:t>
            </w:r>
          </w:p>
        </w:tc>
      </w:tr>
      <w:tr>
        <w:tc>
          <w:tcPr>
            <w:tcW w:type="dxa" w:w="2592"/>
          </w:tcPr>
          <w:p>
            <w:r>
              <w:t>G1 — Baseline fixed</w:t>
            </w:r>
          </w:p>
        </w:tc>
        <w:tc>
          <w:tcPr>
            <w:tcW w:type="dxa" w:w="2592"/>
          </w:tcPr>
          <w:p>
            <w:r>
              <w:t>Current NCIE-001–018 versions + v3.0 register + change-control route</w:t>
            </w:r>
          </w:p>
        </w:tc>
        <w:tc>
          <w:tcPr>
            <w:tcW w:type="dxa" w:w="2592"/>
          </w:tcPr>
          <w:p>
            <w:r>
              <w:t>DOCUMENTATION BASELINE EXISTS; unresolved HR decisions remain</w:t>
            </w:r>
          </w:p>
        </w:tc>
        <w:tc>
          <w:tcPr>
            <w:tcW w:type="dxa" w:w="2592"/>
          </w:tcPr>
          <w:p>
            <w:r>
              <w:t>Necessary, not sufficient</w:t>
            </w:r>
          </w:p>
        </w:tc>
      </w:tr>
      <w:tr>
        <w:tc>
          <w:tcPr>
            <w:tcW w:type="dxa" w:w="2592"/>
          </w:tcPr>
          <w:p>
            <w:r>
              <w:t>G2 — Tranche defined</w:t>
            </w:r>
          </w:p>
        </w:tc>
        <w:tc>
          <w:tcPr>
            <w:tcW w:type="dxa" w:w="2592"/>
          </w:tcPr>
          <w:p>
            <w:r>
              <w:t>Selected NCIE-017 WBS/work-package IDs and exclusions</w:t>
            </w:r>
          </w:p>
        </w:tc>
        <w:tc>
          <w:tcPr>
            <w:tcW w:type="dxa" w:w="2592"/>
          </w:tcPr>
          <w:p>
            <w:r>
              <w:t>NOT YET HUMAN-SELECTED in supplied sources</w:t>
            </w:r>
          </w:p>
        </w:tc>
        <w:tc>
          <w:tcPr>
            <w:tcW w:type="dxa" w:w="2592"/>
          </w:tcPr>
          <w:p>
            <w:r>
              <w:t>BLOCKS ENTRY</w:t>
            </w:r>
          </w:p>
        </w:tc>
      </w:tr>
      <w:tr>
        <w:tc>
          <w:tcPr>
            <w:tcW w:type="dxa" w:w="2592"/>
          </w:tcPr>
          <w:p>
            <w:r>
              <w:t>G3 — Tranche blockers reconciled</w:t>
            </w:r>
          </w:p>
        </w:tc>
        <w:tc>
          <w:tcPr>
            <w:tcW w:type="dxa" w:w="2592"/>
          </w:tcPr>
          <w:p>
            <w:r>
              <w:t>Dependency map showing resolved / excluded / gated upstream HR items</w:t>
            </w:r>
          </w:p>
        </w:tc>
        <w:tc>
          <w:tcPr>
            <w:tcW w:type="dxa" w:w="2592"/>
          </w:tcPr>
          <w:p>
            <w:r>
              <w:t>UPSTREAM BLOCKERS EXIST; no suite-wide closure evidence supplied</w:t>
            </w:r>
          </w:p>
        </w:tc>
        <w:tc>
          <w:tcPr>
            <w:tcW w:type="dxa" w:w="2592"/>
          </w:tcPr>
          <w:p>
            <w:r>
              <w:t>BLOCKS ENTRY</w:t>
            </w:r>
          </w:p>
        </w:tc>
      </w:tr>
      <w:tr>
        <w:tc>
          <w:tcPr>
            <w:tcW w:type="dxa" w:w="2592"/>
          </w:tcPr>
          <w:p>
            <w:r>
              <w:t>G4 — Accountable implementation authority</w:t>
            </w:r>
          </w:p>
        </w:tc>
        <w:tc>
          <w:tcPr>
            <w:tcW w:type="dxa" w:w="2592"/>
          </w:tcPr>
          <w:p>
            <w:r>
              <w:t>Role-class accountability, SoD and escalation for selected tranche</w:t>
            </w:r>
          </w:p>
        </w:tc>
        <w:tc>
          <w:tcPr>
            <w:tcW w:type="dxa" w:w="2592"/>
          </w:tcPr>
          <w:p>
            <w:r>
              <w:t>MULTIPLE HR8–HR18 confirmations remain open</w:t>
            </w:r>
          </w:p>
        </w:tc>
        <w:tc>
          <w:tcPr>
            <w:tcW w:type="dxa" w:w="2592"/>
          </w:tcPr>
          <w:p>
            <w:r>
              <w:t>BLOCKS ENTRY</w:t>
            </w:r>
          </w:p>
        </w:tc>
      </w:tr>
      <w:tr>
        <w:tc>
          <w:tcPr>
            <w:tcW w:type="dxa" w:w="2592"/>
          </w:tcPr>
          <w:p>
            <w:r>
              <w:t>G5 — Security/environment prerequisites</w:t>
            </w:r>
          </w:p>
        </w:tc>
        <w:tc>
          <w:tcPr>
            <w:tcW w:type="dxa" w:w="2592"/>
          </w:tcPr>
          <w:p>
            <w:r>
              <w:t>Approved identities, environment, secrets/network/data-class controls for tranche</w:t>
            </w:r>
          </w:p>
        </w:tc>
        <w:tc>
          <w:tcPr>
            <w:tcW w:type="dxa" w:w="2592"/>
          </w:tcPr>
          <w:p>
            <w:r>
              <w:t>OPEN security/infrastructure confirmations remain</w:t>
            </w:r>
          </w:p>
        </w:tc>
        <w:tc>
          <w:tcPr>
            <w:tcW w:type="dxa" w:w="2592"/>
          </w:tcPr>
          <w:p>
            <w:r>
              <w:t>BLOCKS ENTRY</w:t>
            </w:r>
          </w:p>
        </w:tc>
      </w:tr>
      <w:tr>
        <w:tc>
          <w:tcPr>
            <w:tcW w:type="dxa" w:w="2592"/>
          </w:tcPr>
          <w:p>
            <w:r>
              <w:t>G6 — Data/technology prerequisites</w:t>
            </w:r>
          </w:p>
        </w:tc>
        <w:tc>
          <w:tcPr>
            <w:tcW w:type="dxa" w:w="2592"/>
          </w:tcPr>
          <w:p>
            <w:r>
              <w:t>Required canonical/source and platform selections for tranche</w:t>
            </w:r>
          </w:p>
        </w:tc>
        <w:tc>
          <w:tcPr>
            <w:tcW w:type="dxa" w:w="2592"/>
          </w:tcPr>
          <w:p>
            <w:r>
              <w:t>NCIE-003/004/014/015 contain open blocking decisions</w:t>
            </w:r>
          </w:p>
        </w:tc>
        <w:tc>
          <w:tcPr>
            <w:tcW w:type="dxa" w:w="2592"/>
          </w:tcPr>
          <w:p>
            <w:r>
              <w:t>BLOCKS AFFECTED WORK PACKAGES</w:t>
            </w:r>
          </w:p>
        </w:tc>
      </w:tr>
      <w:tr>
        <w:tc>
          <w:tcPr>
            <w:tcW w:type="dxa" w:w="2592"/>
          </w:tcPr>
          <w:p>
            <w:r>
              <w:t>G7 — Verification mapped</w:t>
            </w:r>
          </w:p>
        </w:tc>
        <w:tc>
          <w:tcPr>
            <w:tcW w:type="dxa" w:w="2592"/>
          </w:tcPr>
          <w:p>
            <w:r>
              <w:t>NCIE-016 test IDs/evidence/environment requirements linked to each selected package</w:t>
            </w:r>
          </w:p>
        </w:tc>
        <w:tc>
          <w:tcPr>
            <w:tcW w:type="dxa" w:w="2592"/>
          </w:tcPr>
          <w:p>
            <w:r>
              <w:t>ARCHITECTURE DEFINED; actual tranche mapping requires execution planning</w:t>
            </w:r>
          </w:p>
        </w:tc>
        <w:tc>
          <w:tcPr>
            <w:tcW w:type="dxa" w:w="2592"/>
          </w:tcPr>
          <w:p>
            <w:r>
              <w:t>BLOCKS ENTRY UNTIL MAPPED</w:t>
            </w:r>
          </w:p>
        </w:tc>
      </w:tr>
      <w:tr>
        <w:tc>
          <w:tcPr>
            <w:tcW w:type="dxa" w:w="2592"/>
          </w:tcPr>
          <w:p>
            <w:r>
              <w:t>G8 — No false acceptance</w:t>
            </w:r>
          </w:p>
        </w:tc>
        <w:tc>
          <w:tcPr>
            <w:tcW w:type="dxa" w:w="2592"/>
          </w:tcPr>
          <w:p>
            <w:r>
              <w:t>Explicit record that implementation entry does not mean test pass/readiness/go-live</w:t>
            </w:r>
          </w:p>
        </w:tc>
        <w:tc>
          <w:tcPr>
            <w:tcW w:type="dxa" w:w="2592"/>
          </w:tcPr>
          <w:p>
            <w:r>
              <w:t>SATISFIED BY NCIE-016/017/018 INVARIANTS</w:t>
            </w:r>
          </w:p>
        </w:tc>
        <w:tc>
          <w:tcPr>
            <w:tcW w:type="dxa" w:w="2592"/>
          </w:tcPr>
          <w:p>
            <w:r>
              <w:t>PASS</w:t>
            </w:r>
          </w:p>
        </w:tc>
      </w:tr>
      <w:tr>
        <w:tc>
          <w:tcPr>
            <w:tcW w:type="dxa" w:w="2592"/>
          </w:tcPr>
          <w:p>
            <w:r>
              <w:t>G9 — Human entry decision</w:t>
            </w:r>
          </w:p>
        </w:tc>
        <w:tc>
          <w:tcPr>
            <w:tcW w:type="dxa" w:w="2592"/>
          </w:tcPr>
          <w:p>
            <w:r>
              <w:t>Signed/recorded Human decision defining authorized tranche, conditions and expiry/review</w:t>
            </w:r>
          </w:p>
        </w:tc>
        <w:tc>
          <w:tcPr>
            <w:tcW w:type="dxa" w:w="2592"/>
          </w:tcPr>
          <w:p>
            <w:r>
              <w:t>NOT PRESENT</w:t>
            </w:r>
          </w:p>
        </w:tc>
        <w:tc>
          <w:tcPr>
            <w:tcW w:type="dxa" w:w="2592"/>
          </w:tcPr>
          <w:p>
            <w:r>
              <w:t>BLOCKS ENTRY</w:t>
            </w:r>
          </w:p>
        </w:tc>
      </w:tr>
    </w:tbl>
    <w:p>
      <w:pPr>
        <w:pStyle w:val="Heading1"/>
      </w:pPr>
      <w:r>
        <w:t>9. Gate Disposition</w:t>
      </w:r>
    </w:p>
    <w:p>
      <w:r>
        <w:t>IMPLEMENTATION ENTRY GATE = NOT CLEARED.</w:t>
      </w:r>
    </w:p>
    <w:p>
      <w:r>
        <w:t>The documentation architecture is sufficiently mature to support a controlled implementation-entry decision process, but the supplied sources do not establish that the remaining tranche-specific Blocking Human Review dependencies have been resolved, that a specific NCIE-017 implementation tranche has been selected, or that an authorized Human has issued an Implementation Entry decision.</w:t>
      </w:r>
    </w:p>
    <w:p>
      <w:r>
        <w:t>Accordingly, this gate does not authorize implementation. It creates the controlled mechanism by which implementation may later be authorized for a bounded tranche without waiting for later-stage operational-readiness and production-acceptance decisions that are not logically required to begin foundation work.</w:t>
      </w:r>
    </w:p>
    <w:p>
      <w:pPr>
        <w:pStyle w:val="Heading1"/>
      </w:pPr>
      <w:r>
        <w:t>10. Required Human Decision Package to Clear Entry</w:t>
      </w:r>
    </w:p>
    <w:p>
      <w:pPr>
        <w:pStyle w:val="ListBullet"/>
      </w:pPr>
      <w:r>
        <w:t>Select the first implementation tranche by NCIE-017 WBS/work-package identifiers.</w:t>
      </w:r>
    </w:p>
    <w:p>
      <w:pPr>
        <w:pStyle w:val="ListBullet"/>
      </w:pPr>
      <w:r>
        <w:t>Approve the role-class accountable authority for that tranche and confirm SoD/escalation.</w:t>
      </w:r>
    </w:p>
    <w:p>
      <w:pPr>
        <w:pStyle w:val="ListBullet"/>
      </w:pPr>
      <w:r>
        <w:t>Produce a tranche-specific dependency extract from HR1–HR18 and mark each relevant item RESOLVED, EXCLUDED FROM TRANCHE, or GATED/DEFERRED with a non-bypassable boundary.</w:t>
      </w:r>
    </w:p>
    <w:p>
      <w:pPr>
        <w:pStyle w:val="ListBullet"/>
      </w:pPr>
      <w:r>
        <w:t>Approve the minimum security/environment/data/technology decisions necessary for the selected packages.</w:t>
      </w:r>
    </w:p>
    <w:p>
      <w:pPr>
        <w:pStyle w:val="ListBullet"/>
      </w:pPr>
      <w:r>
        <w:t>Map each selected package to NCIE-016 required tests, environment and evidence artifacts without claiming execution.</w:t>
      </w:r>
    </w:p>
    <w:p>
      <w:pPr>
        <w:pStyle w:val="ListBullet"/>
      </w:pPr>
      <w:r>
        <w:t>Record an explicit Human Implementation Entry decision stating scope, conditions, prohibited capabilities, unresolved dependencies, review/expiry point and rollback/stop authority.</w:t>
      </w:r>
    </w:p>
    <w:p>
      <w:pPr>
        <w:pStyle w:val="Heading1"/>
      </w:pPr>
      <w:r>
        <w:t>11. Integrity Statement</w:t>
      </w:r>
    </w:p>
    <w:p>
      <w:r>
        <w:t>This consolidation intentionally does not create a fictitious single count of independent suite-wide decisions by summing document registers. The source documents themselves show cascading cross-references and dependency intake. Consolidation is therefore performed by blocker family and lifecycle gate, while original IDs remain authoritative in their source registers.</w:t>
      </w:r>
    </w:p>
    <w:p>
      <w:r>
        <w:t>IMPLEMENTATION ENTRY ≠ IMPLEMENTATION COMPLETION. IMPLEMENTATION ENTRY ≠ TEST PASS. IMPLEMENTATION ENTRY ≠ OPERATIONAL READINESS. IMPLEMENTATION ENTRY ≠ PRODUCTION ACCEPTANCE. IMPLEMENTATION ENTRY ≠ GO-LIVE AUTHORIZATION.</w:t>
      </w:r>
    </w:p>
    <w:p>
      <w:r>
        <w:t>STATUS: FOR HUMAN DECISION — NOT AN IMPLEMENTATION AUTHORIZATION.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GATE ASSESSMENT ONLY — DOES NOT AUTHORIZE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 | CONTROLLED IMPLEMENTATION ENTRY GATE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