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6B6E" w14:textId="77777777" w:rsidR="00180B1C" w:rsidRDefault="007D575C">
      <w:pPr>
        <w:jc w:val="center"/>
      </w:pPr>
      <w:r>
        <w:rPr>
          <w:rFonts w:ascii="Aptos" w:hAnsi="Aptos"/>
          <w:b/>
          <w:color w:val="1B5E3F"/>
          <w:sz w:val="26"/>
        </w:rPr>
        <w:t>NCIE-001 v1.2 → v1.3</w:t>
      </w:r>
    </w:p>
    <w:p w14:paraId="29563780" w14:textId="77777777" w:rsidR="00180B1C" w:rsidRDefault="007D575C">
      <w:pPr>
        <w:jc w:val="center"/>
      </w:pPr>
      <w:r>
        <w:rPr>
          <w:rFonts w:ascii="Aptos" w:hAnsi="Aptos"/>
          <w:b/>
          <w:color w:val="0B3D2E"/>
          <w:sz w:val="36"/>
        </w:rPr>
        <w:t>Amendment Verification Report</w:t>
      </w:r>
    </w:p>
    <w:p w14:paraId="6B9BE97D" w14:textId="77777777" w:rsidR="00180B1C" w:rsidRDefault="007D575C">
      <w:pPr>
        <w:jc w:val="center"/>
      </w:pPr>
      <w:r>
        <w:rPr>
          <w:rFonts w:ascii="Aptos" w:hAnsi="Aptos"/>
          <w:b/>
          <w:color w:val="C9A227"/>
        </w:rPr>
        <w:t>VPF &amp; Dynamic Agent Synthesis Consistency Amendment — IN DEVELOPMENT / FOR HUMAN REVIEW</w:t>
      </w:r>
    </w:p>
    <w:p w14:paraId="57593EE5" w14:textId="77777777" w:rsidR="00180B1C" w:rsidRDefault="00180B1C"/>
    <w:p w14:paraId="15CEB2FB" w14:textId="77777777" w:rsidR="00180B1C" w:rsidRDefault="007D575C">
      <w:pPr>
        <w:spacing w:before="240" w:after="120"/>
      </w:pPr>
      <w:r>
        <w:rPr>
          <w:rFonts w:ascii="Aptos" w:hAnsi="Aptos"/>
          <w:b/>
          <w:color w:val="0B3D2E"/>
          <w:sz w:val="26"/>
        </w:rPr>
        <w:t>1. Sections Changed</w:t>
      </w:r>
    </w:p>
    <w:p w14:paraId="35B50E37" w14:textId="77777777" w:rsidR="00180B1C" w:rsidRDefault="007D575C">
      <w:pPr>
        <w:pStyle w:val="ListBullet"/>
      </w:pPr>
      <w:r>
        <w:rPr>
          <w:rFonts w:ascii="Aptos" w:hAnsi="Aptos"/>
          <w:color w:val="2A2A2A"/>
          <w:sz w:val="20"/>
        </w:rPr>
        <w:t>Cover / Document Control (version string v1.2 → v1.3, status).</w:t>
      </w:r>
    </w:p>
    <w:p w14:paraId="7DEF354F" w14:textId="77777777" w:rsidR="00180B1C" w:rsidRDefault="007D575C">
      <w:pPr>
        <w:pStyle w:val="ListBullet"/>
      </w:pPr>
      <w:r>
        <w:rPr>
          <w:rFonts w:ascii="Aptos" w:hAnsi="Aptos"/>
          <w:color w:val="2A2A2A"/>
          <w:sz w:val="20"/>
        </w:rPr>
        <w:t>New “Document Amendment History” section (inserted before Executive Summary; v1.2 baseline preserved, v1.3 entry added).</w:t>
      </w:r>
    </w:p>
    <w:p w14:paraId="5CDD1607" w14:textId="77777777" w:rsidR="00180B1C" w:rsidRDefault="007D575C">
      <w:pPr>
        <w:pStyle w:val="ListBullet"/>
      </w:pPr>
      <w:r>
        <w:rPr>
          <w:rFonts w:ascii="Aptos" w:hAnsi="Aptos"/>
          <w:color w:val="2A2A2A"/>
          <w:sz w:val="20"/>
        </w:rPr>
        <w:t>§12.77 Autonomous Agent Workforce Interaction — appended (existing text preserved).</w:t>
      </w:r>
    </w:p>
    <w:p w14:paraId="28A2EDF9" w14:textId="77777777" w:rsidR="00180B1C" w:rsidRDefault="007D575C">
      <w:pPr>
        <w:pStyle w:val="ListBullet"/>
      </w:pPr>
      <w:r>
        <w:rPr>
          <w:rFonts w:ascii="Aptos" w:hAnsi="Aptos"/>
          <w:color w:val="2A2A2A"/>
          <w:sz w:val="20"/>
        </w:rPr>
        <w:t>§12.78 Agent Selection — one stale line replaced, four clarifying lines appended.</w:t>
      </w:r>
    </w:p>
    <w:p w14:paraId="0D9044B9" w14:textId="77777777" w:rsidR="00180B1C" w:rsidRDefault="007D575C">
      <w:pPr>
        <w:pStyle w:val="ListBullet"/>
      </w:pPr>
      <w:r>
        <w:rPr>
          <w:rFonts w:ascii="Aptos" w:hAnsi="Aptos"/>
          <w:color w:val="2A2A2A"/>
          <w:sz w:val="20"/>
        </w:rPr>
        <w:t>§12.79 Agent Authority — one cross-reference sentence appended (existing principle unchanged).</w:t>
      </w:r>
    </w:p>
    <w:p w14:paraId="72A929D2" w14:textId="77777777" w:rsidR="00180B1C" w:rsidRDefault="007D575C">
      <w:pPr>
        <w:pStyle w:val="ListBullet"/>
      </w:pPr>
      <w:r>
        <w:rPr>
          <w:rFonts w:ascii="Aptos" w:hAnsi="Aptos"/>
          <w:color w:val="2A2A2A"/>
          <w:sz w:val="20"/>
        </w:rPr>
        <w:t>New §12.80A VPF Output Validation (inserted between §12.80 and §12.81).</w:t>
      </w:r>
    </w:p>
    <w:p w14:paraId="5EB65B77" w14:textId="77777777" w:rsidR="00180B1C" w:rsidRDefault="007D575C">
      <w:pPr>
        <w:pStyle w:val="ListBullet"/>
      </w:pPr>
      <w:r>
        <w:rPr>
          <w:rFonts w:ascii="Aptos" w:hAnsi="Aptos"/>
          <w:color w:val="2A2A2A"/>
          <w:sz w:val="20"/>
        </w:rPr>
        <w:t>New §18.241A Dynamic Agent Synthesis &amp; Engineering Change Boundary (inserted between §18.241 and §18.242).</w:t>
      </w:r>
    </w:p>
    <w:p w14:paraId="14DFDFF1" w14:textId="77777777" w:rsidR="00180B1C" w:rsidRDefault="007D575C">
      <w:pPr>
        <w:pStyle w:val="ListBullet"/>
      </w:pPr>
      <w:r>
        <w:rPr>
          <w:rFonts w:ascii="Aptos" w:hAnsi="Aptos"/>
          <w:color w:val="2A2A2A"/>
          <w:sz w:val="20"/>
        </w:rPr>
        <w:t>Chapter 12/15 AI-Assistant requirements register — three rows appended (AIA-283–285).</w:t>
      </w:r>
    </w:p>
    <w:p w14:paraId="6B9ECFC1" w14:textId="77777777" w:rsidR="00180B1C" w:rsidRDefault="007D575C">
      <w:pPr>
        <w:pStyle w:val="ListBullet"/>
      </w:pPr>
      <w:r>
        <w:rPr>
          <w:rFonts w:ascii="Aptos" w:hAnsi="Aptos"/>
          <w:color w:val="2A2A2A"/>
          <w:sz w:val="20"/>
        </w:rPr>
        <w:t>Chapter 18 governance requirements register — one row appended (GOV-333).</w:t>
      </w:r>
    </w:p>
    <w:p w14:paraId="46950996" w14:textId="77777777" w:rsidR="00180B1C" w:rsidRDefault="007D575C">
      <w:pPr>
        <w:spacing w:before="240" w:after="120"/>
      </w:pPr>
      <w:r>
        <w:rPr>
          <w:rFonts w:ascii="Aptos" w:hAnsi="Aptos"/>
          <w:b/>
          <w:color w:val="0B3D2E"/>
          <w:sz w:val="26"/>
        </w:rPr>
        <w:t>2. Sections Unchanged</w:t>
      </w:r>
    </w:p>
    <w:p w14:paraId="5E9D9DAD" w14:textId="77777777" w:rsidR="00180B1C" w:rsidRDefault="007D575C">
      <w:pPr>
        <w:spacing w:after="120"/>
      </w:pPr>
      <w:r>
        <w:rPr>
          <w:rFonts w:ascii="Aptos" w:hAnsi="Aptos"/>
          <w:color w:val="2A2A2A"/>
          <w:sz w:val="20"/>
        </w:rPr>
        <w:t>A full paragraph-level diff between NCIE-001 v1.2 (38,624 paragraphs) and v1.3 (38,672 paragraphs) was performed programmatically. Exactly 7 diff blocks were found, corresponding one-to-one to the 9 changes listed in §1 above (two of the 9 bullets share the §12.77 insertion block and the §12.78 replace block respectively). No other paragraph in the 1.2 baseline was altered, reordered, renumbered or removed. Table count is unchanged (198 in both editions); the two register tables identified above gained rows</w:t>
      </w:r>
      <w:r>
        <w:rPr>
          <w:rFonts w:ascii="Aptos" w:hAnsi="Aptos"/>
          <w:color w:val="2A2A2A"/>
          <w:sz w:val="20"/>
        </w:rPr>
        <w:t xml:space="preserve"> only — no existing row was altered or removed. This confirms the amendment is limited exactly to the scope specified in the handover directive (Section 19 requirement).</w:t>
      </w:r>
    </w:p>
    <w:p w14:paraId="5FB6DC0C" w14:textId="77777777" w:rsidR="00180B1C" w:rsidRDefault="007D575C">
      <w:pPr>
        <w:spacing w:before="240" w:after="120"/>
      </w:pPr>
      <w:r>
        <w:rPr>
          <w:rFonts w:ascii="Aptos" w:hAnsi="Aptos"/>
          <w:b/>
          <w:color w:val="0B3D2E"/>
          <w:sz w:val="26"/>
        </w:rPr>
        <w:t>3. Contradiction Search Completed</w:t>
      </w:r>
    </w:p>
    <w:p w14:paraId="0524AF46" w14:textId="77777777" w:rsidR="00180B1C" w:rsidRDefault="007D575C">
      <w:pPr>
        <w:spacing w:after="120"/>
      </w:pPr>
      <w:r>
        <w:rPr>
          <w:rFonts w:ascii="Aptos" w:hAnsi="Aptos"/>
          <w:color w:val="2A2A2A"/>
          <w:sz w:val="20"/>
        </w:rPr>
        <w:t>The mandated full-document search (Rule 15) for the seven listed stale-statement patterns was performed. No additional directly-contradicting statement was found. The document's pre-existing “VPF alignment boundary” clause (Document Governance) is consistent with, not contradicted by, the new §12.80A requirement — both refer to the same supplied VPF governance framework that NCIE-007 Ch.26 subsequently operationalized. No additional surgical amendment was required.</w:t>
      </w:r>
    </w:p>
    <w:p w14:paraId="6B64CE05" w14:textId="77777777" w:rsidR="00180B1C" w:rsidRDefault="007D575C">
      <w:pPr>
        <w:spacing w:before="240" w:after="120"/>
      </w:pPr>
      <w:r>
        <w:rPr>
          <w:rFonts w:ascii="Aptos" w:hAnsi="Aptos"/>
          <w:b/>
          <w:color w:val="0B3D2E"/>
          <w:sz w:val="26"/>
        </w:rPr>
        <w:t>4. No Unrelated Amendment Creep</w:t>
      </w:r>
    </w:p>
    <w:p w14:paraId="15407B7F" w14:textId="77777777" w:rsidR="00180B1C" w:rsidRDefault="007D575C">
      <w:pPr>
        <w:spacing w:after="120"/>
      </w:pPr>
      <w:r>
        <w:rPr>
          <w:rFonts w:ascii="Aptos" w:hAnsi="Aptos"/>
          <w:color w:val="2A2A2A"/>
          <w:sz w:val="20"/>
        </w:rPr>
        <w:lastRenderedPageBreak/>
        <w:t>No writing-style, formatting, security, data, memory, voice, anti-fraud, revenue or unrelated traceability content was modified. §§12.82–12.87 (AI Gateway, provider abstraction, routing, fallback, model independence, deterministic continuity) and §§12.70–12.76 (tool authorization/chaining) were left untouched, as were the Evidence/AI-provenance requirements referenced in Section 10 of the handover directive. No existing requirement numbering was changed.</w:t>
      </w:r>
    </w:p>
    <w:p w14:paraId="65CE7D58" w14:textId="77777777" w:rsidR="00180B1C" w:rsidRDefault="007D575C">
      <w:pPr>
        <w:spacing w:before="240" w:after="120"/>
      </w:pPr>
      <w:r>
        <w:rPr>
          <w:rFonts w:ascii="Aptos" w:hAnsi="Aptos"/>
          <w:b/>
          <w:color w:val="0B3D2E"/>
          <w:sz w:val="26"/>
        </w:rPr>
        <w:t>5. Human-Primary Authority Preserved</w:t>
      </w:r>
    </w:p>
    <w:p w14:paraId="3DAB7A60" w14:textId="77777777" w:rsidR="00180B1C" w:rsidRDefault="007D575C">
      <w:pPr>
        <w:spacing w:after="120"/>
      </w:pPr>
      <w:r>
        <w:rPr>
          <w:rFonts w:ascii="Aptos" w:hAnsi="Aptos"/>
          <w:color w:val="2A2A2A"/>
          <w:sz w:val="20"/>
        </w:rPr>
        <w:t>§12.79's existing principle (“Delegation from the Assistant does not expand the agent's permissions”—“likewise, an agent cannot delegate itself into higher authority”) is unchanged; only a cross-reference confirming the same rule applies to synthesized agents was added. The new §12.80A and §18.241A requirements both explicitly preserve VPF VALIDATION ≠ HUMAN / INSTITUTIONAL APPROVAL and the Codex/Agent Factory boundary. No new institutional authority was created for ARGUS, agents or VPF.</w:t>
      </w:r>
    </w:p>
    <w:p w14:paraId="768293CE" w14:textId="77777777" w:rsidR="00180B1C" w:rsidRDefault="007D575C">
      <w:pPr>
        <w:spacing w:before="240" w:after="120"/>
      </w:pPr>
      <w:r>
        <w:rPr>
          <w:rFonts w:ascii="Aptos" w:hAnsi="Aptos"/>
          <w:b/>
          <w:color w:val="0B3D2E"/>
          <w:sz w:val="26"/>
        </w:rPr>
        <w:t>6. VPF Requirement Incorporated</w:t>
      </w:r>
    </w:p>
    <w:p w14:paraId="0A6D4B5D" w14:textId="77777777" w:rsidR="00180B1C" w:rsidRDefault="007D575C">
      <w:pPr>
        <w:spacing w:after="120"/>
      </w:pPr>
      <w:r>
        <w:rPr>
          <w:rFonts w:ascii="Aptos" w:hAnsi="Aptos"/>
          <w:color w:val="2A2A2A"/>
          <w:sz w:val="20"/>
        </w:rPr>
        <w:t>New §12.80A establishes the mandatory VPF governance path for substantive AI-generated output at the product-requirement level, consistent with NCIE-007 v1.1 Ch.26, without reproducing Gate A/Gate B implementation detail (which remains authoritative in NCIE-007).</w:t>
      </w:r>
    </w:p>
    <w:p w14:paraId="1DF0D646" w14:textId="77777777" w:rsidR="00180B1C" w:rsidRDefault="007D575C">
      <w:pPr>
        <w:spacing w:before="240" w:after="120"/>
      </w:pPr>
      <w:r>
        <w:rPr>
          <w:rFonts w:ascii="Aptos" w:hAnsi="Aptos"/>
          <w:b/>
          <w:color w:val="0B3D2E"/>
          <w:sz w:val="26"/>
        </w:rPr>
        <w:t>7. Dynamic Agent Capability Incorporated</w:t>
      </w:r>
    </w:p>
    <w:p w14:paraId="3B590AB4" w14:textId="77777777" w:rsidR="00180B1C" w:rsidRDefault="007D575C">
      <w:pPr>
        <w:spacing w:after="120"/>
      </w:pPr>
      <w:r>
        <w:rPr>
          <w:rFonts w:ascii="Aptos" w:hAnsi="Aptos"/>
          <w:color w:val="2A2A2A"/>
          <w:sz w:val="20"/>
        </w:rPr>
        <w:t>§12.77 and §12.78 recognize governed Ephemeral Agent synthesis through the Agent Factory alongside existing Registered Reusable Agents, without reproducing Agent Factory internal architecture. New §18.241A states the capability/limitation pair (bounded synthesis without bespoke Codex development per agent; no authority/infrastructure creation outside the approved envelope; Engineering Change Candidate for genuine capability gaps).</w:t>
      </w:r>
    </w:p>
    <w:p w14:paraId="61FC7BF9" w14:textId="77777777" w:rsidR="00180B1C" w:rsidRDefault="007D575C">
      <w:pPr>
        <w:spacing w:before="240" w:after="120"/>
      </w:pPr>
      <w:r>
        <w:rPr>
          <w:rFonts w:ascii="Aptos" w:hAnsi="Aptos"/>
          <w:b/>
          <w:color w:val="0B3D2E"/>
          <w:sz w:val="26"/>
        </w:rPr>
        <w:t>8. New Human Review Items</w:t>
      </w:r>
    </w:p>
    <w:p w14:paraId="2E2CDE78" w14:textId="77777777" w:rsidR="00180B1C" w:rsidRDefault="007D575C">
      <w:pPr>
        <w:spacing w:after="120"/>
      </w:pPr>
      <w:r>
        <w:rPr>
          <w:rFonts w:ascii="Aptos" w:hAnsi="Aptos"/>
          <w:color w:val="2A2A2A"/>
          <w:sz w:val="20"/>
        </w:rPr>
        <w:t>None. The institutional decisions underlying these amendments (ephemeral-agent activation policy, promotion authority, generated-code disposition) are already tracked as open Human Review items in NCIE-007 Chapter 35; NCIE-001 references the resulting product capability without re-opening or duplicating those decisions.</w:t>
      </w:r>
    </w:p>
    <w:p w14:paraId="0A5F615D" w14:textId="77777777" w:rsidR="00180B1C" w:rsidRDefault="007D575C">
      <w:pPr>
        <w:spacing w:before="240" w:after="120"/>
      </w:pPr>
      <w:r>
        <w:rPr>
          <w:rFonts w:ascii="Aptos" w:hAnsi="Aptos"/>
          <w:b/>
          <w:color w:val="0B3D2E"/>
          <w:sz w:val="26"/>
        </w:rPr>
        <w:t>9. Document-Control Correction</w:t>
      </w:r>
    </w:p>
    <w:p w14:paraId="0826D001" w14:textId="77777777" w:rsidR="00180B1C" w:rsidRDefault="007D575C">
      <w:pPr>
        <w:spacing w:after="120"/>
      </w:pPr>
      <w:r>
        <w:rPr>
          <w:rFonts w:ascii="Aptos" w:hAnsi="Aptos"/>
          <w:color w:val="2A2A2A"/>
          <w:sz w:val="20"/>
        </w:rPr>
        <w:t>A subsequent human review identified that the document's single running header (“NCIE-001 | MASTER PRODUCT REQUIREMENTS DOCUMENT | VERSION 1.2”, present on every page via the document's one shared section header) had not been updated when the cover and Document Amendment History were bumped to v1.3. This was a document-control-only defect: the running header lives in the docx header part, which is separate from the body paragraphs the original amendment diff checked, so it was not caught by that check.</w:t>
      </w:r>
    </w:p>
    <w:p w14:paraId="54067813" w14:textId="77777777" w:rsidR="00180B1C" w:rsidRDefault="007D575C">
      <w:pPr>
        <w:spacing w:after="120"/>
      </w:pPr>
      <w:r>
        <w:rPr>
          <w:rFonts w:ascii="Aptos" w:hAnsi="Aptos"/>
          <w:color w:val="2A2A2A"/>
          <w:sz w:val="20"/>
        </w:rPr>
        <w:t xml:space="preserve">Correction applied: the header text was changed to “NCIE-001 | MASTER PRODUCT REQUIREMENTS DOCUMENT | VERSION 1.3”. No other header/footer variant (first-page, even-page, footer) carried the stale identifier. A full-document search confirmed the only remaining occurrence of “Version </w:t>
      </w:r>
      <w:r>
        <w:rPr>
          <w:rFonts w:ascii="Aptos" w:hAnsi="Aptos"/>
          <w:color w:val="2A2A2A"/>
          <w:sz w:val="20"/>
        </w:rPr>
        <w:lastRenderedPageBreak/>
        <w:t>1.2” is the pre-existing, intentionally historical “Productionization note” (Document Governance, describing the prior v1.1/v1.2 filename discrepancy), which was correctly left untouched. A body-paragraph diff against the pre-correction v1.3 edition (and, transitively, against the v1.2 baseline) confirmed zero body-content, table, or register changes from this correction — exactly the same 7 amendment diff blocks as before. The PDF was re-rendered from the corrected document.</w:t>
      </w:r>
    </w:p>
    <w:p w14:paraId="17395635" w14:textId="77777777" w:rsidR="00180B1C" w:rsidRDefault="007D575C">
      <w:pPr>
        <w:spacing w:before="240" w:after="120"/>
      </w:pPr>
      <w:r>
        <w:rPr>
          <w:rFonts w:ascii="Aptos" w:hAnsi="Aptos"/>
          <w:b/>
          <w:color w:val="0B3D2E"/>
          <w:sz w:val="26"/>
        </w:rPr>
        <w:t>10. Disposition</w:t>
      </w:r>
    </w:p>
    <w:p w14:paraId="0DACF8E9" w14:textId="77777777" w:rsidR="00180B1C" w:rsidRDefault="007D575C">
      <w:pPr>
        <w:spacing w:after="120"/>
      </w:pPr>
      <w:r>
        <w:rPr>
          <w:rFonts w:ascii="Aptos" w:hAnsi="Aptos"/>
          <w:color w:val="2A2A2A"/>
          <w:sz w:val="20"/>
        </w:rPr>
        <w:t>NCIE-001 — Master PRD v1.3 — VPF &amp; Dynamic Agent Synthesis Consistency Amendment is READY FOR HUMAN REVIEW. The v1.2 approved baseline remains historically preserved and in force except for the specific amendments listed in the accompanying Change Register. This document is NOT marked Approved.</w:t>
      </w:r>
    </w:p>
    <w:sectPr w:rsidR="00180B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182491">
    <w:abstractNumId w:val="8"/>
  </w:num>
  <w:num w:numId="2" w16cid:durableId="303704742">
    <w:abstractNumId w:val="6"/>
  </w:num>
  <w:num w:numId="3" w16cid:durableId="2057580768">
    <w:abstractNumId w:val="5"/>
  </w:num>
  <w:num w:numId="4" w16cid:durableId="595485075">
    <w:abstractNumId w:val="4"/>
  </w:num>
  <w:num w:numId="5" w16cid:durableId="1995328728">
    <w:abstractNumId w:val="7"/>
  </w:num>
  <w:num w:numId="6" w16cid:durableId="1784110188">
    <w:abstractNumId w:val="3"/>
  </w:num>
  <w:num w:numId="7" w16cid:durableId="421681326">
    <w:abstractNumId w:val="2"/>
  </w:num>
  <w:num w:numId="8" w16cid:durableId="1077023062">
    <w:abstractNumId w:val="1"/>
  </w:num>
  <w:num w:numId="9" w16cid:durableId="53407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F1"/>
    <w:rsid w:val="0015074B"/>
    <w:rsid w:val="00180B1C"/>
    <w:rsid w:val="0029639D"/>
    <w:rsid w:val="00326F90"/>
    <w:rsid w:val="00732816"/>
    <w:rsid w:val="007D57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124A3B"/>
  <w14:defaultImageDpi w14:val="300"/>
  <w15:docId w15:val="{04694D76-4D63-426C-84DF-1FA001B5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5124</Characters>
  <Application>Microsoft Office Word</Application>
  <DocSecurity>0</DocSecurity>
  <Lines>81</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Clive E. Barton-Odro</cp:lastModifiedBy>
  <cp:revision>2</cp:revision>
  <dcterms:created xsi:type="dcterms:W3CDTF">2013-12-23T23:15:00Z</dcterms:created>
  <dcterms:modified xsi:type="dcterms:W3CDTF">2026-09-02T23:52:00Z</dcterms:modified>
  <cp:category/>
</cp:coreProperties>
</file>