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B5E3F"/>
          <w:sz w:val="26"/>
        </w:rPr>
        <w:t>NCIE-001 v1.2 → v1.3</w:t>
      </w:r>
    </w:p>
    <w:p>
      <w:pPr>
        <w:jc w:val="center"/>
      </w:pPr>
      <w:r>
        <w:rPr>
          <w:rFonts w:ascii="Aptos" w:hAnsi="Aptos"/>
          <w:b/>
          <w:i w:val="0"/>
          <w:color w:val="0B3D2E"/>
          <w:sz w:val="36"/>
        </w:rPr>
        <w:t>Surgical Amendment Change Register</w:t>
      </w:r>
    </w:p>
    <w:p>
      <w:pPr>
        <w:jc w:val="center"/>
      </w:pPr>
      <w:r>
        <w:rPr>
          <w:rFonts w:ascii="Aptos" w:hAnsi="Aptos"/>
          <w:b/>
          <w:i w:val="0"/>
          <w:color w:val="C9A227"/>
          <w:sz w:val="22"/>
        </w:rPr>
        <w:t>VPF &amp; Dynamic Agent Synthesis Consistency Amendment — IN DEVELOPMENT / FOR HUMAN REVIEW</w:t>
      </w:r>
    </w:p>
    <w:p/>
    <w:p>
      <w:pPr>
        <w:spacing w:after="120"/>
      </w:pPr>
      <w:r>
        <w:rPr>
          <w:rFonts w:ascii="Aptos" w:hAnsi="Aptos"/>
          <w:b w:val="0"/>
          <w:i w:val="0"/>
          <w:color w:val="2A2A2A"/>
          <w:sz w:val="20"/>
        </w:rPr>
        <w:t>Authority: Approved NCIE-007 — AI, Agent &amp; Model Orchestration Specification v1.1. This register lists every substantive change made to NCIE-001 in the v1.2 → v1.3 surgical amendment, confirmed against the document diff in the accompanying Verification Report.</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0B3D2E"/>
          </w:tcPr>
          <w:p>
            <w:r/>
            <w:r>
              <w:rPr>
                <w:rFonts w:ascii="Aptos" w:hAnsi="Aptos"/>
                <w:b/>
                <w:i w:val="0"/>
                <w:color w:val="FFFFFF"/>
                <w:sz w:val="17"/>
              </w:rPr>
              <w:t>Amendment ID</w:t>
            </w:r>
          </w:p>
        </w:tc>
        <w:tc>
          <w:tcPr>
            <w:tcW w:type="dxa" w:w="1440"/>
            <w:shd w:val="clear" w:fill="0B3D2E"/>
          </w:tcPr>
          <w:p>
            <w:r/>
            <w:r>
              <w:rPr>
                <w:rFonts w:ascii="Aptos" w:hAnsi="Aptos"/>
                <w:b/>
                <w:i w:val="0"/>
                <w:color w:val="FFFFFF"/>
                <w:sz w:val="17"/>
              </w:rPr>
              <w:t>Existing Section</w:t>
            </w:r>
          </w:p>
        </w:tc>
        <w:tc>
          <w:tcPr>
            <w:tcW w:type="dxa" w:w="1440"/>
            <w:shd w:val="clear" w:fill="0B3D2E"/>
          </w:tcPr>
          <w:p>
            <w:r/>
            <w:r>
              <w:rPr>
                <w:rFonts w:ascii="Aptos" w:hAnsi="Aptos"/>
                <w:b/>
                <w:i w:val="0"/>
                <w:color w:val="FFFFFF"/>
                <w:sz w:val="17"/>
              </w:rPr>
              <w:t>Change</w:t>
            </w:r>
          </w:p>
        </w:tc>
        <w:tc>
          <w:tcPr>
            <w:tcW w:type="dxa" w:w="1440"/>
            <w:shd w:val="clear" w:fill="0B3D2E"/>
          </w:tcPr>
          <w:p>
            <w:r/>
            <w:r>
              <w:rPr>
                <w:rFonts w:ascii="Aptos" w:hAnsi="Aptos"/>
                <w:b/>
                <w:i w:val="0"/>
                <w:color w:val="FFFFFF"/>
                <w:sz w:val="17"/>
              </w:rPr>
              <w:t>NCIE-007 Authority</w:t>
            </w:r>
          </w:p>
        </w:tc>
        <w:tc>
          <w:tcPr>
            <w:tcW w:type="dxa" w:w="1440"/>
            <w:shd w:val="clear" w:fill="0B3D2E"/>
          </w:tcPr>
          <w:p>
            <w:r/>
            <w:r>
              <w:rPr>
                <w:rFonts w:ascii="Aptos" w:hAnsi="Aptos"/>
                <w:b/>
                <w:i w:val="0"/>
                <w:color w:val="FFFFFF"/>
                <w:sz w:val="17"/>
              </w:rPr>
              <w:t>Reason</w:t>
            </w:r>
          </w:p>
        </w:tc>
        <w:tc>
          <w:tcPr>
            <w:tcW w:type="dxa" w:w="1440"/>
            <w:shd w:val="clear" w:fill="0B3D2E"/>
          </w:tcPr>
          <w:p>
            <w:r/>
            <w:r>
              <w:rPr>
                <w:rFonts w:ascii="Aptos" w:hAnsi="Aptos"/>
                <w:b/>
                <w:i w:val="0"/>
                <w:color w:val="FFFFFF"/>
                <w:sz w:val="17"/>
              </w:rPr>
              <w:t>Status</w:t>
            </w:r>
          </w:p>
        </w:tc>
      </w:tr>
      <w:tr>
        <w:tc>
          <w:tcPr>
            <w:tcW w:type="dxa" w:w="1440"/>
            <w:shd w:val="clear" w:fill="FFFFFF"/>
          </w:tcPr>
          <w:p>
            <w:r/>
            <w:r>
              <w:rPr>
                <w:rFonts w:ascii="Aptos" w:hAnsi="Aptos"/>
                <w:b w:val="0"/>
                <w:i w:val="0"/>
                <w:color w:val="2A2A2A"/>
                <w:sz w:val="16"/>
              </w:rPr>
              <w:t>AM-1</w:t>
            </w:r>
          </w:p>
        </w:tc>
        <w:tc>
          <w:tcPr>
            <w:tcW w:type="dxa" w:w="1440"/>
            <w:shd w:val="clear" w:fill="FFFFFF"/>
          </w:tcPr>
          <w:p>
            <w:r/>
            <w:r>
              <w:rPr>
                <w:rFonts w:ascii="Aptos" w:hAnsi="Aptos"/>
                <w:b w:val="0"/>
                <w:i w:val="0"/>
                <w:color w:val="2A2A2A"/>
                <w:sz w:val="16"/>
              </w:rPr>
              <w:t>§12.77 Autonomous Agent Workforce Interaction</w:t>
            </w:r>
          </w:p>
        </w:tc>
        <w:tc>
          <w:tcPr>
            <w:tcW w:type="dxa" w:w="1440"/>
            <w:shd w:val="clear" w:fill="FFFFFF"/>
          </w:tcPr>
          <w:p>
            <w:r/>
            <w:r>
              <w:rPr>
                <w:rFonts w:ascii="Aptos" w:hAnsi="Aptos"/>
                <w:b w:val="0"/>
                <w:i w:val="0"/>
                <w:color w:val="2A2A2A"/>
                <w:sz w:val="16"/>
              </w:rPr>
              <w:t>Appended a requirement recognizing bounded Ephemeral Synthesized Agents created via the governed Agent Factory, alongside existing Registered Reusable Agents, with explicit non-escalation constraints.</w:t>
            </w:r>
          </w:p>
        </w:tc>
        <w:tc>
          <w:tcPr>
            <w:tcW w:type="dxa" w:w="1440"/>
            <w:shd w:val="clear" w:fill="FFFFFF"/>
          </w:tcPr>
          <w:p>
            <w:r/>
            <w:r>
              <w:rPr>
                <w:rFonts w:ascii="Aptos" w:hAnsi="Aptos"/>
                <w:b w:val="0"/>
                <w:i w:val="0"/>
                <w:color w:val="2A2A2A"/>
                <w:sz w:val="16"/>
              </w:rPr>
              <w:t>NCIE-007 Ch.11 (Specialized Agent Architecture &amp; Dynamic Agent Synthesis); NCIE-007-S01 §3-5</w:t>
            </w:r>
          </w:p>
        </w:tc>
        <w:tc>
          <w:tcPr>
            <w:tcW w:type="dxa" w:w="1440"/>
            <w:shd w:val="clear" w:fill="FFFFFF"/>
          </w:tcPr>
          <w:p>
            <w:r/>
            <w:r>
              <w:rPr>
                <w:rFonts w:ascii="Aptos" w:hAnsi="Aptos"/>
                <w:b w:val="0"/>
                <w:i w:val="0"/>
                <w:color w:val="2A2A2A"/>
                <w:sz w:val="16"/>
              </w:rPr>
              <w:t>NCIE-001 recognized only delegation to approved agents; it did not yet recognize governed Dynamic Agent Synthesis as an approved capability.</w:t>
            </w:r>
          </w:p>
        </w:tc>
        <w:tc>
          <w:tcPr>
            <w:tcW w:type="dxa" w:w="1440"/>
            <w:shd w:val="clear" w:fill="FFFFFF"/>
          </w:tcPr>
          <w:p>
            <w:r/>
            <w:r>
              <w:rPr>
                <w:rFonts w:ascii="Aptos" w:hAnsi="Aptos"/>
                <w:b w:val="0"/>
                <w:i w:val="0"/>
                <w:color w:val="2A2A2A"/>
                <w:sz w:val="16"/>
              </w:rPr>
              <w:t>APPLIED</w:t>
            </w:r>
          </w:p>
        </w:tc>
      </w:tr>
      <w:tr>
        <w:tc>
          <w:tcPr>
            <w:tcW w:type="dxa" w:w="1440"/>
            <w:shd w:val="clear" w:fill="EAF3EE"/>
          </w:tcPr>
          <w:p>
            <w:r/>
            <w:r>
              <w:rPr>
                <w:rFonts w:ascii="Aptos" w:hAnsi="Aptos"/>
                <w:b w:val="0"/>
                <w:i w:val="0"/>
                <w:color w:val="2A2A2A"/>
                <w:sz w:val="16"/>
              </w:rPr>
              <w:t>AM-2</w:t>
            </w:r>
          </w:p>
        </w:tc>
        <w:tc>
          <w:tcPr>
            <w:tcW w:type="dxa" w:w="1440"/>
            <w:shd w:val="clear" w:fill="EAF3EE"/>
          </w:tcPr>
          <w:p>
            <w:r/>
            <w:r>
              <w:rPr>
                <w:rFonts w:ascii="Aptos" w:hAnsi="Aptos"/>
                <w:b w:val="0"/>
                <w:i w:val="0"/>
                <w:color w:val="2A2A2A"/>
                <w:sz w:val="16"/>
              </w:rPr>
              <w:t>§12.78 Agent Selection</w:t>
            </w:r>
          </w:p>
        </w:tc>
        <w:tc>
          <w:tcPr>
            <w:tcW w:type="dxa" w:w="1440"/>
            <w:shd w:val="clear" w:fill="EAF3EE"/>
          </w:tcPr>
          <w:p>
            <w:r/>
            <w:r>
              <w:rPr>
                <w:rFonts w:ascii="Aptos" w:hAnsi="Aptos"/>
                <w:b w:val="0"/>
                <w:i w:val="0"/>
                <w:color w:val="2A2A2A"/>
                <w:sz w:val="16"/>
              </w:rPr>
              <w:t>Replaced the stale line ‘The Agent Registry defines what exists’ (which would incorrectly read as prohibiting Ephemeral Agent synthesis) with requirements establishing existing-agent-first selection, governed synthesis where no adequate registered capability exists, and the distinct Agent Registry vs. Ephemeral Agent Definition scopes.</w:t>
            </w:r>
          </w:p>
        </w:tc>
        <w:tc>
          <w:tcPr>
            <w:tcW w:type="dxa" w:w="1440"/>
            <w:shd w:val="clear" w:fill="EAF3EE"/>
          </w:tcPr>
          <w:p>
            <w:r/>
            <w:r>
              <w:rPr>
                <w:rFonts w:ascii="Aptos" w:hAnsi="Aptos"/>
                <w:b w:val="0"/>
                <w:i w:val="0"/>
                <w:color w:val="2A2A2A"/>
                <w:sz w:val="16"/>
              </w:rPr>
              <w:t>NCIE-007 Ch.11 §11.3, §11.9; Ch.12 §12.3</w:t>
            </w:r>
          </w:p>
        </w:tc>
        <w:tc>
          <w:tcPr>
            <w:tcW w:type="dxa" w:w="1440"/>
            <w:shd w:val="clear" w:fill="EAF3EE"/>
          </w:tcPr>
          <w:p>
            <w:r/>
            <w:r>
              <w:rPr>
                <w:rFonts w:ascii="Aptos" w:hAnsi="Aptos"/>
                <w:b w:val="0"/>
                <w:i w:val="0"/>
                <w:color w:val="2A2A2A"/>
                <w:sz w:val="16"/>
              </w:rPr>
              <w:t>The existing wording, read literally against the new architecture, would bar all governed Ephemeral Agent synthesis — a direct contradiction with approved NCIE-007 v1.1.</w:t>
            </w:r>
          </w:p>
        </w:tc>
        <w:tc>
          <w:tcPr>
            <w:tcW w:type="dxa" w:w="1440"/>
            <w:shd w:val="clear" w:fill="EAF3EE"/>
          </w:tcPr>
          <w:p>
            <w:r/>
            <w:r>
              <w:rPr>
                <w:rFonts w:ascii="Aptos" w:hAnsi="Aptos"/>
                <w:b w:val="0"/>
                <w:i w:val="0"/>
                <w:color w:val="2A2A2A"/>
                <w:sz w:val="16"/>
              </w:rPr>
              <w:t>APPLIED</w:t>
            </w:r>
          </w:p>
        </w:tc>
      </w:tr>
      <w:tr>
        <w:tc>
          <w:tcPr>
            <w:tcW w:type="dxa" w:w="1440"/>
            <w:shd w:val="clear" w:fill="FFFFFF"/>
          </w:tcPr>
          <w:p>
            <w:r/>
            <w:r>
              <w:rPr>
                <w:rFonts w:ascii="Aptos" w:hAnsi="Aptos"/>
                <w:b w:val="0"/>
                <w:i w:val="0"/>
                <w:color w:val="2A2A2A"/>
                <w:sz w:val="16"/>
              </w:rPr>
              <w:t>AM-2a</w:t>
            </w:r>
          </w:p>
        </w:tc>
        <w:tc>
          <w:tcPr>
            <w:tcW w:type="dxa" w:w="1440"/>
            <w:shd w:val="clear" w:fill="FFFFFF"/>
          </w:tcPr>
          <w:p>
            <w:r/>
            <w:r>
              <w:rPr>
                <w:rFonts w:ascii="Aptos" w:hAnsi="Aptos"/>
                <w:b w:val="0"/>
                <w:i w:val="0"/>
                <w:color w:val="2A2A2A"/>
                <w:sz w:val="16"/>
              </w:rPr>
              <w:t>§12.79 Agent Authority</w:t>
            </w:r>
          </w:p>
        </w:tc>
        <w:tc>
          <w:tcPr>
            <w:tcW w:type="dxa" w:w="1440"/>
            <w:shd w:val="clear" w:fill="FFFFFF"/>
          </w:tcPr>
          <w:p>
            <w:r/>
            <w:r>
              <w:rPr>
                <w:rFonts w:ascii="Aptos" w:hAnsi="Aptos"/>
                <w:b w:val="0"/>
                <w:i w:val="0"/>
                <w:color w:val="2A2A2A"/>
                <w:sz w:val="16"/>
              </w:rPr>
              <w:t>Added one cross-reference sentence confirming the existing delegation-authority rule applies identically to synthesized agents. No change to the existing principle.</w:t>
            </w:r>
          </w:p>
        </w:tc>
        <w:tc>
          <w:tcPr>
            <w:tcW w:type="dxa" w:w="1440"/>
            <w:shd w:val="clear" w:fill="FFFFFF"/>
          </w:tcPr>
          <w:p>
            <w:r/>
            <w:r>
              <w:rPr>
                <w:rFonts w:ascii="Aptos" w:hAnsi="Aptos"/>
                <w:b w:val="0"/>
                <w:i w:val="0"/>
                <w:color w:val="2A2A2A"/>
                <w:sz w:val="16"/>
              </w:rPr>
              <w:t>NCIE-007 front matter §0.3 (AGENT SYNTHESIS ≠ PERMISSION EXPANSION)</w:t>
            </w:r>
          </w:p>
        </w:tc>
        <w:tc>
          <w:tcPr>
            <w:tcW w:type="dxa" w:w="1440"/>
            <w:shd w:val="clear" w:fill="FFFFFF"/>
          </w:tcPr>
          <w:p>
            <w:r/>
            <w:r>
              <w:rPr>
                <w:rFonts w:ascii="Aptos" w:hAnsi="Aptos"/>
                <w:b w:val="0"/>
                <w:i w:val="0"/>
                <w:color w:val="2A2A2A"/>
                <w:sz w:val="16"/>
              </w:rPr>
              <w:t>Minimum necessary cross-reference so the pre-existing rule is not read as silent on the new agent kind.</w:t>
            </w:r>
          </w:p>
        </w:tc>
        <w:tc>
          <w:tcPr>
            <w:tcW w:type="dxa" w:w="1440"/>
            <w:shd w:val="clear" w:fill="FFFFFF"/>
          </w:tcPr>
          <w:p>
            <w:r/>
            <w:r>
              <w:rPr>
                <w:rFonts w:ascii="Aptos" w:hAnsi="Aptos"/>
                <w:b w:val="0"/>
                <w:i w:val="0"/>
                <w:color w:val="2A2A2A"/>
                <w:sz w:val="16"/>
              </w:rPr>
              <w:t>APPLIED</w:t>
            </w:r>
          </w:p>
        </w:tc>
      </w:tr>
      <w:tr>
        <w:tc>
          <w:tcPr>
            <w:tcW w:type="dxa" w:w="1440"/>
            <w:shd w:val="clear" w:fill="EAF3EE"/>
          </w:tcPr>
          <w:p>
            <w:r/>
            <w:r>
              <w:rPr>
                <w:rFonts w:ascii="Aptos" w:hAnsi="Aptos"/>
                <w:b w:val="0"/>
                <w:i w:val="0"/>
                <w:color w:val="2A2A2A"/>
                <w:sz w:val="16"/>
              </w:rPr>
              <w:t>AM-3</w:t>
            </w:r>
          </w:p>
        </w:tc>
        <w:tc>
          <w:tcPr>
            <w:tcW w:type="dxa" w:w="1440"/>
            <w:shd w:val="clear" w:fill="EAF3EE"/>
          </w:tcPr>
          <w:p>
            <w:r/>
            <w:r>
              <w:rPr>
                <w:rFonts w:ascii="Aptos" w:hAnsi="Aptos"/>
                <w:b w:val="0"/>
                <w:i w:val="0"/>
                <w:color w:val="2A2A2A"/>
                <w:sz w:val="16"/>
              </w:rPr>
              <w:t>New §12.80A VPF Output Validation (inserted between §12.80 and §12.81)</w:t>
            </w:r>
          </w:p>
        </w:tc>
        <w:tc>
          <w:tcPr>
            <w:tcW w:type="dxa" w:w="1440"/>
            <w:shd w:val="clear" w:fill="EAF3EE"/>
          </w:tcPr>
          <w:p>
            <w:r/>
            <w:r>
              <w:rPr>
                <w:rFonts w:ascii="Aptos" w:hAnsi="Aptos"/>
                <w:b w:val="0"/>
                <w:i w:val="0"/>
                <w:color w:val="2A2A2A"/>
                <w:sz w:val="16"/>
              </w:rPr>
              <w:t>New product requirement: all substantive AI-generated output shall enter the applicable VPF governance path before validated release; VPF validation is distinct from human/institutional approval; substantive AI output is not exempt from VPF by default; purely deterministic non-AI processing is outside the mandate.</w:t>
            </w:r>
          </w:p>
        </w:tc>
        <w:tc>
          <w:tcPr>
            <w:tcW w:type="dxa" w:w="1440"/>
            <w:shd w:val="clear" w:fill="EAF3EE"/>
          </w:tcPr>
          <w:p>
            <w:r/>
            <w:r>
              <w:rPr>
                <w:rFonts w:ascii="Aptos" w:hAnsi="Aptos"/>
                <w:b w:val="0"/>
                <w:i w:val="0"/>
                <w:color w:val="2A2A2A"/>
                <w:sz w:val="16"/>
              </w:rPr>
              <w:t>NCIE-007 Ch.26 (Output Schemas, Validation &amp; the VPF Validation Framework), v1.1 hardening</w:t>
            </w:r>
          </w:p>
        </w:tc>
        <w:tc>
          <w:tcPr>
            <w:tcW w:type="dxa" w:w="1440"/>
            <w:shd w:val="clear" w:fill="EAF3EE"/>
          </w:tcPr>
          <w:p>
            <w:r/>
            <w:r>
              <w:rPr>
                <w:rFonts w:ascii="Aptos" w:hAnsi="Aptos"/>
                <w:b w:val="0"/>
                <w:i w:val="0"/>
                <w:color w:val="2A2A2A"/>
                <w:sz w:val="16"/>
              </w:rPr>
              <w:t>NCIE-001 had no product-level VPF output-validation requirement prior to this amendment.</w:t>
            </w:r>
          </w:p>
        </w:tc>
        <w:tc>
          <w:tcPr>
            <w:tcW w:type="dxa" w:w="1440"/>
            <w:shd w:val="clear" w:fill="EAF3EE"/>
          </w:tcPr>
          <w:p>
            <w:r/>
            <w:r>
              <w:rPr>
                <w:rFonts w:ascii="Aptos" w:hAnsi="Aptos"/>
                <w:b w:val="0"/>
                <w:i w:val="0"/>
                <w:color w:val="2A2A2A"/>
                <w:sz w:val="16"/>
              </w:rPr>
              <w:t>APPLIED</w:t>
            </w:r>
          </w:p>
        </w:tc>
      </w:tr>
      <w:tr>
        <w:tc>
          <w:tcPr>
            <w:tcW w:type="dxa" w:w="1440"/>
            <w:shd w:val="clear" w:fill="FFFFFF"/>
          </w:tcPr>
          <w:p>
            <w:r/>
            <w:r>
              <w:rPr>
                <w:rFonts w:ascii="Aptos" w:hAnsi="Aptos"/>
                <w:b w:val="0"/>
                <w:i w:val="0"/>
                <w:color w:val="2A2A2A"/>
                <w:sz w:val="16"/>
              </w:rPr>
              <w:t>AM-4</w:t>
            </w:r>
          </w:p>
        </w:tc>
        <w:tc>
          <w:tcPr>
            <w:tcW w:type="dxa" w:w="1440"/>
            <w:shd w:val="clear" w:fill="FFFFFF"/>
          </w:tcPr>
          <w:p>
            <w:r/>
            <w:r>
              <w:rPr>
                <w:rFonts w:ascii="Aptos" w:hAnsi="Aptos"/>
                <w:b w:val="0"/>
                <w:i w:val="0"/>
                <w:color w:val="2A2A2A"/>
                <w:sz w:val="16"/>
              </w:rPr>
              <w:t>New §18.241A Dynamic Agent Synthesis &amp; Engineering Change Boundary (inserted between §18.241 and §18.242)</w:t>
            </w:r>
          </w:p>
        </w:tc>
        <w:tc>
          <w:tcPr>
            <w:tcW w:type="dxa" w:w="1440"/>
            <w:shd w:val="clear" w:fill="FFFFFF"/>
          </w:tcPr>
          <w:p>
            <w:r/>
            <w:r>
              <w:rPr>
                <w:rFonts w:ascii="Aptos" w:hAnsi="Aptos"/>
                <w:b w:val="0"/>
                <w:i w:val="0"/>
                <w:color w:val="2A2A2A"/>
                <w:sz w:val="16"/>
              </w:rPr>
              <w:t>New acceptance/capability requirement: ARGUS shall be capable of synthesizing bounded task-specific agents from approved primitives without Codex hand-coding each one, while Dynamic Agent Synthesis cannot create infrastructure/permissions/authority outside the approved envelope; a capability gap yields an Engineering Change Candidate.</w:t>
            </w:r>
          </w:p>
        </w:tc>
        <w:tc>
          <w:tcPr>
            <w:tcW w:type="dxa" w:w="1440"/>
            <w:shd w:val="clear" w:fill="FFFFFF"/>
          </w:tcPr>
          <w:p>
            <w:r/>
            <w:r>
              <w:rPr>
                <w:rFonts w:ascii="Aptos" w:hAnsi="Aptos"/>
                <w:b w:val="0"/>
                <w:i w:val="0"/>
                <w:color w:val="2A2A2A"/>
                <w:sz w:val="16"/>
              </w:rPr>
              <w:t>NCIE-007 Ch.12 §12.1; Ch.36 §36.8</w:t>
            </w:r>
          </w:p>
        </w:tc>
        <w:tc>
          <w:tcPr>
            <w:tcW w:type="dxa" w:w="1440"/>
            <w:shd w:val="clear" w:fill="FFFFFF"/>
          </w:tcPr>
          <w:p>
            <w:r/>
            <w:r>
              <w:rPr>
                <w:rFonts w:ascii="Aptos" w:hAnsi="Aptos"/>
                <w:b w:val="0"/>
                <w:i w:val="0"/>
                <w:color w:val="2A2A2A"/>
                <w:sz w:val="16"/>
              </w:rPr>
              <w:t>NCIE-001 had no product acceptance statement distinguishing this capability/limitation pair.</w:t>
            </w:r>
          </w:p>
        </w:tc>
        <w:tc>
          <w:tcPr>
            <w:tcW w:type="dxa" w:w="1440"/>
            <w:shd w:val="clear" w:fill="FFFFFF"/>
          </w:tcPr>
          <w:p>
            <w:r/>
            <w:r>
              <w:rPr>
                <w:rFonts w:ascii="Aptos" w:hAnsi="Aptos"/>
                <w:b w:val="0"/>
                <w:i w:val="0"/>
                <w:color w:val="2A2A2A"/>
                <w:sz w:val="16"/>
              </w:rPr>
              <w:t>APPLIED</w:t>
            </w:r>
          </w:p>
        </w:tc>
      </w:tr>
      <w:tr>
        <w:tc>
          <w:tcPr>
            <w:tcW w:type="dxa" w:w="1440"/>
            <w:shd w:val="clear" w:fill="EAF3EE"/>
          </w:tcPr>
          <w:p>
            <w:r/>
            <w:r>
              <w:rPr>
                <w:rFonts w:ascii="Aptos" w:hAnsi="Aptos"/>
                <w:b w:val="0"/>
                <w:i w:val="0"/>
                <w:color w:val="2A2A2A"/>
                <w:sz w:val="16"/>
              </w:rPr>
              <w:t>AM-DOC</w:t>
            </w:r>
          </w:p>
        </w:tc>
        <w:tc>
          <w:tcPr>
            <w:tcW w:type="dxa" w:w="1440"/>
            <w:shd w:val="clear" w:fill="EAF3EE"/>
          </w:tcPr>
          <w:p>
            <w:r/>
            <w:r>
              <w:rPr>
                <w:rFonts w:ascii="Aptos" w:hAnsi="Aptos"/>
                <w:b w:val="0"/>
                <w:i w:val="0"/>
                <w:color w:val="2A2A2A"/>
                <w:sz w:val="16"/>
              </w:rPr>
              <w:t>Document Governance / Cover / New Document Amendment History section</w:t>
            </w:r>
          </w:p>
        </w:tc>
        <w:tc>
          <w:tcPr>
            <w:tcW w:type="dxa" w:w="1440"/>
            <w:shd w:val="clear" w:fill="EAF3EE"/>
          </w:tcPr>
          <w:p>
            <w:r/>
            <w:r>
              <w:rPr>
                <w:rFonts w:ascii="Aptos" w:hAnsi="Aptos"/>
                <w:b w:val="0"/>
                <w:i w:val="0"/>
                <w:color w:val="2A2A2A"/>
                <w:sz w:val="16"/>
              </w:rPr>
              <w:t>Cover version updated v1.2 → v1.3 with status IN DEVELOPMENT / FOR HUMAN REVIEW; added a Document Amendment History section preserving the v1.2 baseline record and recording the v1.3 change per the change-control entry format.</w:t>
            </w:r>
          </w:p>
        </w:tc>
        <w:tc>
          <w:tcPr>
            <w:tcW w:type="dxa" w:w="1440"/>
            <w:shd w:val="clear" w:fill="EAF3EE"/>
          </w:tcPr>
          <w:p>
            <w:r/>
            <w:r>
              <w:rPr>
                <w:rFonts w:ascii="Aptos" w:hAnsi="Aptos"/>
                <w:b w:val="0"/>
                <w:i w:val="0"/>
                <w:color w:val="2A2A2A"/>
                <w:sz w:val="16"/>
              </w:rPr>
              <w:t>Administrative (Section 13 of the handover directive)</w:t>
            </w:r>
          </w:p>
        </w:tc>
        <w:tc>
          <w:tcPr>
            <w:tcW w:type="dxa" w:w="1440"/>
            <w:shd w:val="clear" w:fill="EAF3EE"/>
          </w:tcPr>
          <w:p>
            <w:r/>
            <w:r>
              <w:rPr>
                <w:rFonts w:ascii="Aptos" w:hAnsi="Aptos"/>
                <w:b w:val="0"/>
                <w:i w:val="0"/>
                <w:color w:val="2A2A2A"/>
                <w:sz w:val="16"/>
              </w:rPr>
              <w:t>Required change-control record; does not alter substantive requirements.</w:t>
            </w:r>
          </w:p>
        </w:tc>
        <w:tc>
          <w:tcPr>
            <w:tcW w:type="dxa" w:w="1440"/>
            <w:shd w:val="clear" w:fill="EAF3EE"/>
          </w:tcPr>
          <w:p>
            <w:r/>
            <w:r>
              <w:rPr>
                <w:rFonts w:ascii="Aptos" w:hAnsi="Aptos"/>
                <w:b w:val="0"/>
                <w:i w:val="0"/>
                <w:color w:val="2A2A2A"/>
                <w:sz w:val="16"/>
              </w:rPr>
              <w:t>APPLIED</w:t>
            </w:r>
          </w:p>
        </w:tc>
      </w:tr>
    </w:tbl>
    <w:p/>
    <w:p>
      <w:pPr>
        <w:spacing w:before="240" w:after="120"/>
      </w:pPr>
      <w:r>
        <w:rPr>
          <w:rFonts w:ascii="Aptos" w:hAnsi="Aptos"/>
          <w:b/>
          <w:i w:val="0"/>
          <w:color w:val="0B3D2E"/>
          <w:sz w:val="26"/>
        </w:rPr>
        <w:t>Register Updates</w:t>
      </w:r>
    </w:p>
    <w:p>
      <w:pPr>
        <w:spacing w:after="120"/>
      </w:pPr>
      <w:r>
        <w:rPr>
          <w:rFonts w:ascii="Aptos" w:hAnsi="Aptos"/>
          <w:b w:val="0"/>
          <w:i w:val="0"/>
          <w:color w:val="2A2A2A"/>
          <w:sz w:val="20"/>
        </w:rPr>
        <w:t>Three new NCIE-PRD-AIA requirement IDs (AIA-283, AIA-284, AIA-285) were appended to the existing Chapter 12/15 AI-Assistant-domain register (the running “New Mandatory Requirements Register” ending at AIA-282), continuing the established sequence rather than introducing a competing ID scheme. One new NCIE-PRD-GOV requirement ID (GOV-333) was appended to the Chapter 18 governance register (ending at GOV-332) for the acceptance/capability requirement.</w:t>
      </w:r>
    </w:p>
    <w:p>
      <w:pPr>
        <w:spacing w:before="240" w:after="120"/>
      </w:pPr>
      <w:r>
        <w:rPr>
          <w:rFonts w:ascii="Aptos" w:hAnsi="Aptos"/>
          <w:b/>
          <w:i w:val="0"/>
          <w:color w:val="0B3D2E"/>
          <w:sz w:val="26"/>
        </w:rPr>
        <w:t>Additional Consistency Amendments Found (Rule 15 Search)</w:t>
      </w:r>
    </w:p>
    <w:p>
      <w:pPr>
        <w:spacing w:after="120"/>
      </w:pPr>
      <w:r>
        <w:rPr>
          <w:rFonts w:ascii="Aptos" w:hAnsi="Aptos"/>
          <w:b w:val="0"/>
          <w:i w:val="0"/>
          <w:color w:val="2A2A2A"/>
          <w:sz w:val="20"/>
        </w:rPr>
        <w:t>A full-document search for the seven directly-contradicting stale-statement patterns specified in the handover directive (permanently-registered-only agents; ARGUS limited to recommending future development; every agent requiring bespoke Codex development; AI output bypassing VPF; automatic registration on synthesis; VPF as institutional approval; a synthesized agent expanding its own permissions) found no additional genuinely conflicting statement. The document's sole prior use of “VPF” (Document Governance, “VPF alignment boundary”) refers to the same supplied governance framework NCIE-007 Ch.26 operationalizes — continuity, not collision. No additional surgical amendment was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